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29322" w14:textId="0A4DB755" w:rsidR="00076F46" w:rsidRPr="0072412D" w:rsidRDefault="00076F46" w:rsidP="00076F46">
      <w:pPr>
        <w:pStyle w:val="Header"/>
        <w:keepLines/>
        <w:tabs>
          <w:tab w:val="left" w:pos="7938"/>
          <w:tab w:val="right" w:pos="10440"/>
          <w:tab w:val="right" w:pos="13323"/>
        </w:tabs>
        <w:rPr>
          <w:rFonts w:ascii="Arial" w:eastAsia="SimSun" w:hAnsi="Arial" w:cs="Arial"/>
          <w:b/>
          <w:sz w:val="24"/>
          <w:szCs w:val="24"/>
          <w:lang w:val="en-GB" w:eastAsia="zh-CN"/>
        </w:rPr>
      </w:pPr>
      <w:bookmarkStart w:id="0" w:name="Title"/>
      <w:bookmarkStart w:id="1" w:name="DocumentFor"/>
      <w:bookmarkStart w:id="2" w:name="OLE_LINK5"/>
      <w:bookmarkStart w:id="3" w:name="OLE_LINK6"/>
      <w:bookmarkEnd w:id="0"/>
      <w:bookmarkEnd w:id="1"/>
      <w:r w:rsidRPr="0072412D">
        <w:rPr>
          <w:rFonts w:ascii="Arial" w:hAnsi="Arial" w:cs="Arial"/>
          <w:b/>
          <w:sz w:val="24"/>
          <w:szCs w:val="24"/>
          <w:lang w:val="en-GB"/>
        </w:rPr>
        <w:t>3GPP TSG-RAN WG4 Meeting #</w:t>
      </w:r>
      <w:r w:rsidRPr="0072412D">
        <w:rPr>
          <w:lang w:val="en-GB"/>
        </w:rPr>
        <w:t xml:space="preserve"> </w:t>
      </w:r>
      <w:r w:rsidRPr="0072412D">
        <w:rPr>
          <w:rFonts w:ascii="Arial" w:hAnsi="Arial" w:cs="Arial"/>
          <w:b/>
          <w:sz w:val="24"/>
          <w:szCs w:val="24"/>
          <w:lang w:val="en-GB"/>
        </w:rPr>
        <w:t xml:space="preserve">103-e </w:t>
      </w:r>
      <w:r w:rsidRPr="0072412D">
        <w:rPr>
          <w:rFonts w:ascii="Arial" w:hAnsi="Arial" w:cs="Arial"/>
          <w:b/>
          <w:sz w:val="24"/>
          <w:szCs w:val="24"/>
          <w:lang w:val="en-GB"/>
        </w:rPr>
        <w:tab/>
      </w:r>
      <w:r w:rsidRPr="0072412D">
        <w:rPr>
          <w:rFonts w:ascii="Arial" w:hAnsi="Arial" w:cs="Arial"/>
          <w:b/>
          <w:sz w:val="24"/>
          <w:szCs w:val="24"/>
          <w:lang w:val="en-GB"/>
        </w:rPr>
        <w:tab/>
        <w:t>R4-220</w:t>
      </w:r>
      <w:r w:rsidR="00131E0D">
        <w:rPr>
          <w:rFonts w:ascii="Arial" w:hAnsi="Arial" w:cs="Arial"/>
          <w:b/>
          <w:sz w:val="24"/>
          <w:szCs w:val="24"/>
          <w:lang w:val="en-GB"/>
        </w:rPr>
        <w:t>9711</w:t>
      </w:r>
    </w:p>
    <w:p w14:paraId="20A36CF9" w14:textId="77777777" w:rsidR="00076F46" w:rsidRPr="004D6B5F" w:rsidRDefault="00076F46" w:rsidP="00076F46">
      <w:pPr>
        <w:pStyle w:val="Header"/>
        <w:tabs>
          <w:tab w:val="right" w:pos="9781"/>
          <w:tab w:val="right" w:pos="13323"/>
        </w:tabs>
        <w:outlineLvl w:val="0"/>
        <w:rPr>
          <w:rFonts w:ascii="Arial" w:eastAsia="SimSun" w:hAnsi="Arial" w:cs="Times New Roman"/>
          <w:b/>
          <w:sz w:val="24"/>
          <w:szCs w:val="24"/>
          <w:lang w:eastAsia="zh-CN"/>
        </w:rPr>
      </w:pPr>
      <w:r w:rsidRPr="0072412D">
        <w:rPr>
          <w:rFonts w:ascii="Arial" w:eastAsia="SimSun" w:hAnsi="Arial"/>
          <w:b/>
          <w:sz w:val="24"/>
          <w:szCs w:val="24"/>
          <w:lang w:val="en-GB" w:eastAsia="zh-CN"/>
        </w:rPr>
        <w:t>Electronic Meeting, May 9 – 20, 2022</w:t>
      </w:r>
    </w:p>
    <w:bookmarkEnd w:id="2"/>
    <w:bookmarkEnd w:id="3"/>
    <w:p w14:paraId="222702BA" w14:textId="5C771FFA" w:rsidR="008461CA" w:rsidRPr="00076F46" w:rsidRDefault="008461CA" w:rsidP="008461CA">
      <w:pPr>
        <w:pStyle w:val="Header"/>
        <w:tabs>
          <w:tab w:val="right" w:pos="9781"/>
          <w:tab w:val="right" w:pos="13323"/>
        </w:tabs>
        <w:outlineLvl w:val="0"/>
        <w:rPr>
          <w:rFonts w:ascii="Arial" w:eastAsia="SimSun" w:hAnsi="Arial" w:cs="Times New Roman"/>
          <w:b/>
          <w:sz w:val="24"/>
          <w:szCs w:val="24"/>
          <w:lang w:eastAsia="zh-CN"/>
        </w:rPr>
      </w:pPr>
    </w:p>
    <w:p w14:paraId="6515563C" w14:textId="77777777" w:rsidR="00841BCD" w:rsidRPr="001433B1"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1433B1" w:rsidRDefault="00841BCD" w:rsidP="00841BCD">
      <w:pPr>
        <w:tabs>
          <w:tab w:val="left" w:pos="1985"/>
        </w:tabs>
        <w:ind w:left="1985" w:hanging="1985"/>
        <w:rPr>
          <w:rFonts w:ascii="Arial" w:eastAsia="Calibri" w:hAnsi="Arial" w:cs="Arial"/>
          <w:b/>
          <w:bCs/>
          <w:sz w:val="24"/>
          <w:lang w:val="en-GB"/>
        </w:rPr>
      </w:pPr>
      <w:r w:rsidRPr="001433B1">
        <w:rPr>
          <w:rFonts w:ascii="Arial" w:eastAsia="Calibri" w:hAnsi="Arial" w:cs="Arial"/>
          <w:b/>
          <w:bCs/>
          <w:sz w:val="24"/>
          <w:lang w:val="en-GB"/>
        </w:rPr>
        <w:t>Source:</w:t>
      </w:r>
      <w:r w:rsidRPr="001433B1">
        <w:rPr>
          <w:rFonts w:ascii="Arial" w:eastAsia="Calibri" w:hAnsi="Arial" w:cs="Arial"/>
          <w:b/>
          <w:bCs/>
          <w:sz w:val="24"/>
          <w:lang w:val="en-GB"/>
        </w:rPr>
        <w:tab/>
        <w:t xml:space="preserve">Nokia, </w:t>
      </w:r>
      <w:r w:rsidR="0043750A" w:rsidRPr="001433B1">
        <w:rPr>
          <w:rFonts w:ascii="Arial" w:eastAsia="Calibri" w:hAnsi="Arial" w:cs="Arial"/>
          <w:b/>
          <w:bCs/>
          <w:sz w:val="24"/>
          <w:lang w:val="en-GB"/>
        </w:rPr>
        <w:t>Nokia</w:t>
      </w:r>
      <w:r w:rsidRPr="001433B1">
        <w:rPr>
          <w:rFonts w:ascii="Arial" w:eastAsia="Calibri" w:hAnsi="Arial" w:cs="Arial"/>
          <w:b/>
          <w:bCs/>
          <w:sz w:val="24"/>
          <w:lang w:val="en-GB"/>
        </w:rPr>
        <w:t xml:space="preserve"> Shanghai Bell</w:t>
      </w:r>
      <w:r w:rsidRPr="001433B1" w:rsidDel="00636277">
        <w:rPr>
          <w:rFonts w:ascii="Arial" w:eastAsia="Calibri" w:hAnsi="Arial" w:cs="Arial"/>
          <w:b/>
          <w:bCs/>
          <w:sz w:val="24"/>
          <w:lang w:val="en-GB"/>
        </w:rPr>
        <w:t xml:space="preserve"> </w:t>
      </w:r>
    </w:p>
    <w:p w14:paraId="7D0568CA" w14:textId="08C0B203" w:rsidR="00841BCD" w:rsidRPr="001433B1" w:rsidRDefault="00841BCD" w:rsidP="00841BCD">
      <w:pPr>
        <w:ind w:left="1985" w:hanging="1985"/>
        <w:rPr>
          <w:rFonts w:ascii="Arial" w:eastAsia="Calibri" w:hAnsi="Arial" w:cs="Arial"/>
          <w:b/>
          <w:bCs/>
          <w:sz w:val="24"/>
          <w:lang w:val="en-GB"/>
        </w:rPr>
      </w:pPr>
      <w:r w:rsidRPr="001433B1">
        <w:rPr>
          <w:rFonts w:ascii="Arial" w:eastAsia="Calibri" w:hAnsi="Arial" w:cs="Arial"/>
          <w:b/>
          <w:bCs/>
          <w:sz w:val="24"/>
          <w:lang w:val="en-GB"/>
        </w:rPr>
        <w:t>Title:</w:t>
      </w:r>
      <w:r w:rsidRPr="001433B1">
        <w:rPr>
          <w:rFonts w:ascii="Arial" w:eastAsia="Calibri" w:hAnsi="Arial" w:cs="Arial"/>
          <w:b/>
          <w:bCs/>
          <w:sz w:val="24"/>
          <w:lang w:val="en-GB"/>
        </w:rPr>
        <w:tab/>
      </w:r>
      <w:r w:rsidR="00290B03" w:rsidRPr="00290B03">
        <w:rPr>
          <w:rFonts w:ascii="Arial" w:eastAsia="Calibri" w:hAnsi="Arial" w:cs="Arial"/>
          <w:b/>
          <w:bCs/>
          <w:sz w:val="24"/>
          <w:lang w:val="en-GB"/>
        </w:rPr>
        <w:t>Discussion on timing error mitigation for NR positioning</w:t>
      </w:r>
    </w:p>
    <w:p w14:paraId="53921647" w14:textId="26BC1CBC" w:rsidR="00841BCD" w:rsidRPr="001433B1" w:rsidRDefault="00841BCD" w:rsidP="00841BCD">
      <w:pPr>
        <w:tabs>
          <w:tab w:val="left" w:pos="1985"/>
        </w:tabs>
        <w:spacing w:after="120" w:line="240" w:lineRule="auto"/>
        <w:rPr>
          <w:rFonts w:ascii="Arial" w:eastAsia="MS Mincho" w:hAnsi="Arial" w:cs="Arial"/>
          <w:b/>
          <w:bCs/>
          <w:sz w:val="24"/>
          <w:szCs w:val="20"/>
          <w:lang w:val="en-GB"/>
        </w:rPr>
      </w:pPr>
      <w:r w:rsidRPr="001433B1">
        <w:rPr>
          <w:rFonts w:ascii="Arial" w:eastAsia="MS Mincho" w:hAnsi="Arial" w:cs="Arial"/>
          <w:b/>
          <w:bCs/>
          <w:sz w:val="24"/>
          <w:szCs w:val="20"/>
          <w:lang w:val="en-GB"/>
        </w:rPr>
        <w:t>Agenda item:</w:t>
      </w:r>
      <w:r w:rsidRPr="001433B1">
        <w:rPr>
          <w:rFonts w:ascii="Arial" w:eastAsia="MS Mincho" w:hAnsi="Arial" w:cs="Arial"/>
          <w:b/>
          <w:bCs/>
          <w:sz w:val="24"/>
          <w:szCs w:val="20"/>
          <w:lang w:val="en-GB"/>
        </w:rPr>
        <w:tab/>
      </w:r>
      <w:r w:rsidR="009D0BBA">
        <w:rPr>
          <w:rFonts w:ascii="Arial" w:eastAsia="MS Mincho" w:hAnsi="Arial" w:cs="Arial"/>
          <w:b/>
          <w:bCs/>
          <w:sz w:val="24"/>
          <w:szCs w:val="20"/>
          <w:lang w:val="en-GB"/>
        </w:rPr>
        <w:t>9</w:t>
      </w:r>
      <w:r w:rsidR="004F01C7" w:rsidRPr="00F2296F">
        <w:rPr>
          <w:rFonts w:ascii="Arial" w:eastAsia="MS Mincho" w:hAnsi="Arial" w:cs="Arial"/>
          <w:b/>
          <w:bCs/>
          <w:sz w:val="24"/>
          <w:szCs w:val="20"/>
          <w:lang w:val="en-GB"/>
        </w:rPr>
        <w:t>.</w:t>
      </w:r>
      <w:r w:rsidR="00290B03">
        <w:rPr>
          <w:rFonts w:ascii="Arial" w:eastAsia="MS Mincho" w:hAnsi="Arial" w:cs="Arial"/>
          <w:b/>
          <w:bCs/>
          <w:sz w:val="24"/>
          <w:szCs w:val="20"/>
          <w:lang w:val="en-GB"/>
        </w:rPr>
        <w:t>2</w:t>
      </w:r>
      <w:r w:rsidR="009D0BBA">
        <w:rPr>
          <w:rFonts w:ascii="Arial" w:eastAsia="MS Mincho" w:hAnsi="Arial" w:cs="Arial"/>
          <w:b/>
          <w:bCs/>
          <w:sz w:val="24"/>
          <w:szCs w:val="20"/>
          <w:lang w:val="en-GB"/>
        </w:rPr>
        <w:t>0</w:t>
      </w:r>
      <w:r w:rsidR="004F01C7" w:rsidRPr="00F2296F">
        <w:rPr>
          <w:rFonts w:ascii="Arial" w:eastAsia="MS Mincho" w:hAnsi="Arial" w:cs="Arial"/>
          <w:b/>
          <w:bCs/>
          <w:sz w:val="24"/>
          <w:szCs w:val="20"/>
          <w:lang w:val="en-GB"/>
        </w:rPr>
        <w:t>.2.1</w:t>
      </w:r>
    </w:p>
    <w:p w14:paraId="266D763D" w14:textId="77777777" w:rsidR="00841BCD" w:rsidRPr="001433B1" w:rsidRDefault="00841BCD" w:rsidP="00841BCD">
      <w:pPr>
        <w:tabs>
          <w:tab w:val="left" w:pos="1985"/>
        </w:tabs>
        <w:rPr>
          <w:rFonts w:ascii="Arial" w:eastAsia="Calibri" w:hAnsi="Arial" w:cs="Arial"/>
          <w:b/>
          <w:bCs/>
          <w:sz w:val="24"/>
          <w:lang w:val="en-GB"/>
        </w:rPr>
      </w:pPr>
      <w:r w:rsidRPr="001433B1">
        <w:rPr>
          <w:rFonts w:ascii="Arial" w:eastAsia="Calibri" w:hAnsi="Arial" w:cs="Arial"/>
          <w:b/>
          <w:bCs/>
          <w:sz w:val="24"/>
          <w:lang w:val="en-GB"/>
        </w:rPr>
        <w:t>Document for:</w:t>
      </w:r>
      <w:r w:rsidRPr="001433B1">
        <w:rPr>
          <w:rFonts w:ascii="Arial" w:eastAsia="Calibri" w:hAnsi="Arial" w:cs="Arial"/>
          <w:b/>
          <w:bCs/>
          <w:sz w:val="24"/>
          <w:lang w:val="en-GB"/>
        </w:rPr>
        <w:tab/>
        <w:t>Discussion</w:t>
      </w:r>
    </w:p>
    <w:p w14:paraId="505DD0D6" w14:textId="77777777" w:rsidR="00841BCD" w:rsidRPr="001433B1" w:rsidRDefault="00841BCD" w:rsidP="00A37002">
      <w:pPr>
        <w:pStyle w:val="RAN4H1"/>
      </w:pPr>
      <w:r w:rsidRPr="001433B1">
        <w:t>Intro</w:t>
      </w:r>
      <w:r w:rsidRPr="001433B1">
        <w:rPr>
          <w:rStyle w:val="RAN4H1Char"/>
        </w:rPr>
        <w:t>ductio</w:t>
      </w:r>
      <w:r w:rsidRPr="001433B1">
        <w:t>n</w:t>
      </w:r>
    </w:p>
    <w:p w14:paraId="755526E3" w14:textId="285834E6" w:rsidR="00290B03" w:rsidRDefault="00290B03" w:rsidP="00290B03">
      <w:pPr>
        <w:spacing w:before="240"/>
      </w:pPr>
      <w:r w:rsidRPr="000A1237">
        <w:rPr>
          <w:color w:val="000000" w:themeColor="text1"/>
        </w:rPr>
        <w:t>RAN4 h</w:t>
      </w:r>
      <w:r>
        <w:t xml:space="preserve">as progressed the discussion </w:t>
      </w:r>
      <w:r w:rsidR="008461CA">
        <w:t xml:space="preserve">on NR positioning enhancements for the Rel-17 WID [1] </w:t>
      </w:r>
      <w:r>
        <w:t>at RAN4 #1</w:t>
      </w:r>
      <w:r w:rsidR="00076F46">
        <w:t>02</w:t>
      </w:r>
      <w:r>
        <w:t xml:space="preserve">-e </w:t>
      </w:r>
      <w:r w:rsidR="00A26008">
        <w:t xml:space="preserve">[2] </w:t>
      </w:r>
      <w:r>
        <w:t xml:space="preserve">and made </w:t>
      </w:r>
      <w:r w:rsidR="003A0879">
        <w:t xml:space="preserve">following agreements </w:t>
      </w:r>
      <w:r w:rsidR="00691548">
        <w:t xml:space="preserve">related to timing error mitigation, as </w:t>
      </w:r>
      <w:r w:rsidR="0007543F">
        <w:t xml:space="preserve">summarized </w:t>
      </w:r>
      <w:proofErr w:type="gramStart"/>
      <w:r w:rsidR="003A0879">
        <w:t>below</w:t>
      </w:r>
      <w:proofErr w:type="gramEnd"/>
      <w:r w:rsidR="00691548">
        <w:t xml:space="preserve"> and </w:t>
      </w:r>
      <w:r>
        <w:t>depicted in WF [</w:t>
      </w:r>
      <w:r w:rsidR="00A26008">
        <w:t>3</w:t>
      </w:r>
      <w:r>
        <w:t xml:space="preserve">]. </w:t>
      </w:r>
    </w:p>
    <w:tbl>
      <w:tblPr>
        <w:tblStyle w:val="TableGrid"/>
        <w:tblW w:w="0" w:type="auto"/>
        <w:tblLook w:val="04A0" w:firstRow="1" w:lastRow="0" w:firstColumn="1" w:lastColumn="0" w:noHBand="0" w:noVBand="1"/>
      </w:tblPr>
      <w:tblGrid>
        <w:gridCol w:w="9617"/>
      </w:tblGrid>
      <w:tr w:rsidR="00290B03" w14:paraId="4FACAE48" w14:textId="77777777" w:rsidTr="00126456">
        <w:tc>
          <w:tcPr>
            <w:tcW w:w="9629" w:type="dxa"/>
          </w:tcPr>
          <w:p w14:paraId="21889C90" w14:textId="0A5F7E54" w:rsidR="0007543F" w:rsidRPr="00EF0FE9" w:rsidRDefault="0007543F" w:rsidP="0007543F">
            <w:pPr>
              <w:spacing w:after="120"/>
              <w:rPr>
                <w:rFonts w:eastAsiaTheme="minorEastAsia"/>
                <w:b/>
                <w:bCs/>
                <w:lang w:val="sv-SE" w:eastAsia="zh-CN"/>
              </w:rPr>
            </w:pPr>
            <w:r w:rsidRPr="00CF2BE2">
              <w:rPr>
                <w:rFonts w:eastAsiaTheme="minorEastAsia"/>
                <w:b/>
                <w:bCs/>
                <w:highlight w:val="green"/>
                <w:lang w:val="sv-SE" w:eastAsia="zh-CN"/>
              </w:rPr>
              <w:t>RAN4 #10</w:t>
            </w:r>
            <w:r w:rsidR="00076F46">
              <w:rPr>
                <w:rFonts w:eastAsiaTheme="minorEastAsia"/>
                <w:b/>
                <w:bCs/>
                <w:highlight w:val="green"/>
                <w:lang w:val="sv-SE" w:eastAsia="zh-CN"/>
              </w:rPr>
              <w:t>2</w:t>
            </w:r>
            <w:r w:rsidRPr="00CF2BE2">
              <w:rPr>
                <w:rFonts w:eastAsiaTheme="minorEastAsia"/>
                <w:b/>
                <w:bCs/>
                <w:highlight w:val="green"/>
                <w:lang w:val="sv-SE" w:eastAsia="zh-CN"/>
              </w:rPr>
              <w:t xml:space="preserve">-e </w:t>
            </w:r>
            <w:proofErr w:type="spellStart"/>
            <w:r w:rsidRPr="00CF2BE2">
              <w:rPr>
                <w:rFonts w:eastAsiaTheme="minorEastAsia"/>
                <w:b/>
                <w:bCs/>
                <w:highlight w:val="green"/>
                <w:lang w:val="sv-SE" w:eastAsia="zh-CN"/>
              </w:rPr>
              <w:t>Agreements</w:t>
            </w:r>
            <w:proofErr w:type="spellEnd"/>
            <w:r w:rsidRPr="00EF0FE9">
              <w:rPr>
                <w:rFonts w:eastAsiaTheme="minorEastAsia"/>
                <w:b/>
                <w:bCs/>
                <w:lang w:val="sv-SE" w:eastAsia="zh-CN"/>
              </w:rPr>
              <w:t xml:space="preserve"> </w:t>
            </w:r>
          </w:p>
          <w:p w14:paraId="7997F307" w14:textId="5EB9FDF1" w:rsidR="009D0BBA" w:rsidRPr="00C500E0" w:rsidRDefault="005C0385" w:rsidP="00C500E0">
            <w:pPr>
              <w:pStyle w:val="3GPPAgreements"/>
              <w:rPr>
                <w:rFonts w:ascii="Times New Roman" w:hAnsi="Times New Roman" w:cs="Times New Roman"/>
                <w:sz w:val="20"/>
                <w:szCs w:val="20"/>
                <w:u w:val="single"/>
              </w:rPr>
            </w:pPr>
            <w:r w:rsidRPr="00C500E0">
              <w:rPr>
                <w:rFonts w:ascii="Times New Roman" w:hAnsi="Times New Roman" w:cs="Times New Roman"/>
                <w:sz w:val="20"/>
                <w:szCs w:val="20"/>
                <w:u w:val="single"/>
              </w:rPr>
              <w:t>F</w:t>
            </w:r>
            <w:r w:rsidR="009D0BBA" w:rsidRPr="00C500E0">
              <w:rPr>
                <w:rFonts w:ascii="Times New Roman" w:hAnsi="Times New Roman" w:cs="Times New Roman"/>
                <w:sz w:val="20"/>
                <w:szCs w:val="20"/>
                <w:u w:val="single"/>
              </w:rPr>
              <w:t>ramework of UE/TRP Rx TEG</w:t>
            </w:r>
          </w:p>
          <w:p w14:paraId="555343EF" w14:textId="77777777" w:rsidR="009D0BBA" w:rsidRPr="0069462C" w:rsidRDefault="009D0BBA" w:rsidP="00C500E0">
            <w:pPr>
              <w:pStyle w:val="ListParagraph"/>
              <w:numPr>
                <w:ilvl w:val="1"/>
                <w:numId w:val="12"/>
              </w:numPr>
              <w:autoSpaceDN w:val="0"/>
              <w:spacing w:after="120"/>
              <w:contextualSpacing w:val="0"/>
            </w:pPr>
            <w:r w:rsidRPr="0069462C">
              <w:t>Define multiple candidate timing error margin values {TE</w:t>
            </w:r>
            <w:r w:rsidRPr="0069462C">
              <w:rPr>
                <w:vertAlign w:val="subscript"/>
              </w:rPr>
              <w:t>1</w:t>
            </w:r>
            <w:r w:rsidRPr="0069462C">
              <w:t>, TE</w:t>
            </w:r>
            <w:r w:rsidRPr="0069462C">
              <w:rPr>
                <w:vertAlign w:val="subscript"/>
              </w:rPr>
              <w:t>2</w:t>
            </w:r>
            <w:r w:rsidRPr="0069462C">
              <w:t>, …, TE</w:t>
            </w:r>
            <w:r w:rsidRPr="0069462C">
              <w:rPr>
                <w:vertAlign w:val="subscript"/>
              </w:rPr>
              <w:t>N</w:t>
            </w:r>
            <w:r w:rsidRPr="0069462C">
              <w:t xml:space="preserve">} in the spec. </w:t>
            </w:r>
          </w:p>
          <w:p w14:paraId="76621358" w14:textId="77777777" w:rsidR="009D0BBA" w:rsidRPr="0069462C" w:rsidRDefault="009D0BBA" w:rsidP="00C500E0">
            <w:pPr>
              <w:pStyle w:val="ListParagraph"/>
              <w:numPr>
                <w:ilvl w:val="2"/>
                <w:numId w:val="12"/>
              </w:numPr>
              <w:autoSpaceDN w:val="0"/>
              <w:spacing w:after="120"/>
              <w:contextualSpacing w:val="0"/>
            </w:pPr>
            <w:r w:rsidRPr="0069462C">
              <w:t>The number of candidate values (</w:t>
            </w:r>
            <w:proofErr w:type="gramStart"/>
            <w:r w:rsidRPr="0069462C">
              <w:t>i.e.</w:t>
            </w:r>
            <w:proofErr w:type="gramEnd"/>
            <w:r w:rsidRPr="0069462C">
              <w:t xml:space="preserve"> N) and the exact values of {TE</w:t>
            </w:r>
            <w:r w:rsidRPr="0069462C">
              <w:rPr>
                <w:vertAlign w:val="subscript"/>
              </w:rPr>
              <w:t>1</w:t>
            </w:r>
            <w:r w:rsidRPr="0069462C">
              <w:t>, TE</w:t>
            </w:r>
            <w:r w:rsidRPr="0069462C">
              <w:rPr>
                <w:vertAlign w:val="subscript"/>
              </w:rPr>
              <w:t>2</w:t>
            </w:r>
            <w:r w:rsidRPr="0069462C">
              <w:t>, …, TE</w:t>
            </w:r>
            <w:r w:rsidRPr="0069462C">
              <w:rPr>
                <w:vertAlign w:val="subscript"/>
              </w:rPr>
              <w:t>N</w:t>
            </w:r>
            <w:r w:rsidRPr="0069462C">
              <w:t xml:space="preserve">} will be decided in Perf part. </w:t>
            </w:r>
          </w:p>
          <w:p w14:paraId="2B8D09E9" w14:textId="77777777" w:rsidR="009D0BBA" w:rsidRPr="0069462C" w:rsidRDefault="009D0BBA" w:rsidP="00C500E0">
            <w:pPr>
              <w:pStyle w:val="ListParagraph"/>
              <w:numPr>
                <w:ilvl w:val="1"/>
                <w:numId w:val="12"/>
              </w:numPr>
              <w:autoSpaceDN w:val="0"/>
              <w:spacing w:after="120"/>
              <w:contextualSpacing w:val="0"/>
            </w:pPr>
            <w:r w:rsidRPr="0069462C">
              <w:t>UE/TRP selects one value M from {TE</w:t>
            </w:r>
            <w:r w:rsidRPr="0069462C">
              <w:rPr>
                <w:vertAlign w:val="subscript"/>
              </w:rPr>
              <w:t>1</w:t>
            </w:r>
            <w:r w:rsidRPr="0069462C">
              <w:t>, TE</w:t>
            </w:r>
            <w:r w:rsidRPr="0069462C">
              <w:rPr>
                <w:vertAlign w:val="subscript"/>
              </w:rPr>
              <w:t>2</w:t>
            </w:r>
            <w:r w:rsidRPr="0069462C">
              <w:t>, …, TE</w:t>
            </w:r>
            <w:r w:rsidRPr="0069462C">
              <w:rPr>
                <w:vertAlign w:val="subscript"/>
              </w:rPr>
              <w:t>N</w:t>
            </w:r>
            <w:r w:rsidRPr="0069462C">
              <w:t xml:space="preserve">} based on its implementation and indicate to LMF. </w:t>
            </w:r>
          </w:p>
          <w:p w14:paraId="5CC1FBB2" w14:textId="77777777" w:rsidR="009D0BBA" w:rsidRPr="0069462C" w:rsidRDefault="009D0BBA" w:rsidP="00C500E0">
            <w:pPr>
              <w:pStyle w:val="ListParagraph"/>
              <w:numPr>
                <w:ilvl w:val="1"/>
                <w:numId w:val="12"/>
              </w:numPr>
              <w:spacing w:after="120"/>
              <w:contextualSpacing w:val="0"/>
            </w:pPr>
            <w:r w:rsidRPr="0069462C">
              <w:t xml:space="preserve">For UE that supports multiple Rx TEGs (TEG#1, TEG#2, …), the associated timing error margin value of each Rx TEG is M, which means the timing error difference between the measurements within the same Rx TEG is within the margin M. </w:t>
            </w:r>
          </w:p>
          <w:p w14:paraId="18E1C384" w14:textId="77777777" w:rsidR="009D0BBA" w:rsidRPr="0069462C" w:rsidRDefault="009D0BBA" w:rsidP="00C500E0">
            <w:pPr>
              <w:pStyle w:val="ListParagraph"/>
              <w:numPr>
                <w:ilvl w:val="1"/>
                <w:numId w:val="12"/>
              </w:numPr>
              <w:autoSpaceDN w:val="0"/>
              <w:spacing w:after="120"/>
              <w:contextualSpacing w:val="0"/>
            </w:pPr>
            <w:r w:rsidRPr="0069462C">
              <w:t>The applicability of reported UE Rx TEG is limited to the measurements contained within the measurement report in which the Rx TEG information is provided, and only to measurements that are tagged with the corresponding TEG ID.</w:t>
            </w:r>
          </w:p>
          <w:p w14:paraId="28166F5A" w14:textId="2726B179" w:rsidR="009D0BBA" w:rsidRDefault="009D0BBA" w:rsidP="00C500E0">
            <w:pPr>
              <w:pStyle w:val="ListParagraph"/>
              <w:numPr>
                <w:ilvl w:val="1"/>
                <w:numId w:val="12"/>
              </w:numPr>
              <w:autoSpaceDN w:val="0"/>
              <w:spacing w:after="120"/>
              <w:contextualSpacing w:val="0"/>
            </w:pPr>
            <w:r w:rsidRPr="0069462C">
              <w:t>The RRM accuracy requirements corresponding to the candidate timing error margin values {TE</w:t>
            </w:r>
            <w:r w:rsidRPr="0069462C">
              <w:rPr>
                <w:vertAlign w:val="subscript"/>
              </w:rPr>
              <w:t>1</w:t>
            </w:r>
            <w:r w:rsidRPr="0069462C">
              <w:t>, TE</w:t>
            </w:r>
            <w:r w:rsidRPr="0069462C">
              <w:rPr>
                <w:vertAlign w:val="subscript"/>
              </w:rPr>
              <w:t>2</w:t>
            </w:r>
            <w:r w:rsidRPr="0069462C">
              <w:t>, …, TE</w:t>
            </w:r>
            <w:r w:rsidRPr="0069462C">
              <w:rPr>
                <w:vertAlign w:val="subscript"/>
              </w:rPr>
              <w:t>N</w:t>
            </w:r>
            <w:r w:rsidRPr="0069462C">
              <w:t xml:space="preserve">} will be defined in Perf part. </w:t>
            </w:r>
          </w:p>
          <w:p w14:paraId="7FBAA5B6" w14:textId="638A20FE" w:rsidR="009D0BBA" w:rsidRPr="00D122EE" w:rsidRDefault="009D0BBA" w:rsidP="00C500E0">
            <w:pPr>
              <w:pStyle w:val="ListParagraph"/>
              <w:numPr>
                <w:ilvl w:val="1"/>
                <w:numId w:val="12"/>
              </w:numPr>
              <w:autoSpaceDN w:val="0"/>
              <w:spacing w:after="120"/>
              <w:contextualSpacing w:val="0"/>
            </w:pPr>
            <w:r w:rsidRPr="005C0385">
              <w:rPr>
                <w:rFonts w:cs="Times New Roman"/>
                <w:szCs w:val="20"/>
              </w:rPr>
              <w:t xml:space="preserve">The framework of </w:t>
            </w:r>
            <w:r w:rsidRPr="00D122EE">
              <w:rPr>
                <w:rFonts w:cs="Times New Roman"/>
                <w:szCs w:val="20"/>
              </w:rPr>
              <w:t xml:space="preserve">UE/TRP Rx TEG can be also applied for UE/TRP </w:t>
            </w:r>
            <w:proofErr w:type="spellStart"/>
            <w:r w:rsidRPr="00D122EE">
              <w:rPr>
                <w:rFonts w:cs="Times New Roman"/>
                <w:szCs w:val="20"/>
              </w:rPr>
              <w:t>RxTx</w:t>
            </w:r>
            <w:proofErr w:type="spellEnd"/>
            <w:r w:rsidRPr="00D122EE">
              <w:rPr>
                <w:rFonts w:cs="Times New Roman"/>
                <w:szCs w:val="20"/>
              </w:rPr>
              <w:t xml:space="preserve"> TEG</w:t>
            </w:r>
          </w:p>
          <w:p w14:paraId="6140E602" w14:textId="2C78D039" w:rsidR="009D0BBA" w:rsidRPr="00D122EE" w:rsidRDefault="009D0BBA" w:rsidP="00C500E0">
            <w:pPr>
              <w:pStyle w:val="ListParagraph"/>
              <w:numPr>
                <w:ilvl w:val="2"/>
                <w:numId w:val="12"/>
              </w:numPr>
              <w:autoSpaceDN w:val="0"/>
              <w:spacing w:after="120"/>
              <w:contextualSpacing w:val="0"/>
              <w:rPr>
                <w:rFonts w:cs="Times New Roman"/>
                <w:szCs w:val="20"/>
              </w:rPr>
            </w:pPr>
            <w:r w:rsidRPr="00D122EE">
              <w:rPr>
                <w:rFonts w:cs="Times New Roman"/>
                <w:szCs w:val="20"/>
              </w:rPr>
              <w:t>Note: if additional issues are identified based on RAN1/2 progress, then this agreement can be revised</w:t>
            </w:r>
          </w:p>
          <w:p w14:paraId="42574B41" w14:textId="2F1AA1C5" w:rsidR="005C0385" w:rsidRPr="00D122EE" w:rsidRDefault="009D0BBA" w:rsidP="00C500E0">
            <w:pPr>
              <w:pStyle w:val="3GPPAgreements"/>
              <w:rPr>
                <w:rFonts w:ascii="Times New Roman" w:hAnsi="Times New Roman" w:cs="Times New Roman"/>
                <w:sz w:val="20"/>
                <w:szCs w:val="20"/>
                <w:u w:val="single"/>
                <w:lang w:val="en-GB"/>
              </w:rPr>
            </w:pPr>
            <w:r w:rsidRPr="00D122EE">
              <w:rPr>
                <w:rFonts w:ascii="Times New Roman" w:hAnsi="Times New Roman" w:cs="Times New Roman"/>
                <w:sz w:val="20"/>
                <w:szCs w:val="20"/>
                <w:u w:val="single"/>
                <w:lang w:val="en-GB"/>
              </w:rPr>
              <w:t>T</w:t>
            </w:r>
            <w:r w:rsidR="005C0385" w:rsidRPr="00D122EE">
              <w:rPr>
                <w:rFonts w:ascii="Times New Roman" w:hAnsi="Times New Roman" w:cs="Times New Roman"/>
                <w:sz w:val="20"/>
                <w:szCs w:val="20"/>
                <w:u w:val="single"/>
                <w:lang w:val="en-GB"/>
              </w:rPr>
              <w:t>iming error margins for Rx TEGs</w:t>
            </w:r>
          </w:p>
          <w:p w14:paraId="11C4B9BD" w14:textId="51B90A5A" w:rsidR="009D0BBA" w:rsidRPr="00D122EE" w:rsidRDefault="005C0385" w:rsidP="00C500E0">
            <w:pPr>
              <w:pStyle w:val="3GPPAgreements"/>
              <w:numPr>
                <w:ilvl w:val="1"/>
                <w:numId w:val="12"/>
              </w:numPr>
              <w:rPr>
                <w:rFonts w:ascii="Times New Roman" w:hAnsi="Times New Roman" w:cs="Times New Roman"/>
                <w:sz w:val="20"/>
                <w:szCs w:val="20"/>
                <w:lang w:val="en-GB"/>
              </w:rPr>
            </w:pPr>
            <w:r w:rsidRPr="00D122EE">
              <w:rPr>
                <w:rFonts w:ascii="Times New Roman" w:hAnsi="Times New Roman" w:cs="Times New Roman"/>
                <w:sz w:val="20"/>
                <w:szCs w:val="20"/>
                <w:lang w:val="en-GB"/>
              </w:rPr>
              <w:t>S</w:t>
            </w:r>
            <w:r w:rsidR="009D0BBA" w:rsidRPr="00D122EE">
              <w:rPr>
                <w:rFonts w:ascii="Times New Roman" w:hAnsi="Times New Roman" w:cs="Times New Roman"/>
                <w:sz w:val="20"/>
                <w:szCs w:val="20"/>
                <w:lang w:val="en-GB"/>
              </w:rPr>
              <w:t xml:space="preserve">ame timing </w:t>
            </w:r>
            <w:r w:rsidRPr="00D122EE">
              <w:rPr>
                <w:rFonts w:ascii="Times New Roman" w:hAnsi="Times New Roman" w:cs="Times New Roman"/>
                <w:sz w:val="20"/>
                <w:szCs w:val="20"/>
                <w:lang w:val="en-GB"/>
              </w:rPr>
              <w:t xml:space="preserve">error </w:t>
            </w:r>
            <w:r w:rsidR="009D0BBA" w:rsidRPr="00D122EE">
              <w:rPr>
                <w:rFonts w:ascii="Times New Roman" w:hAnsi="Times New Roman" w:cs="Times New Roman"/>
                <w:sz w:val="20"/>
                <w:szCs w:val="20"/>
                <w:lang w:val="en-GB"/>
              </w:rPr>
              <w:t>margin is used for all Rx TEGs per UE/TRP.</w:t>
            </w:r>
          </w:p>
          <w:p w14:paraId="3BC27763" w14:textId="77777777" w:rsidR="009D0BBA" w:rsidRPr="00D122EE" w:rsidRDefault="009D0BBA" w:rsidP="00C500E0">
            <w:pPr>
              <w:pStyle w:val="3GPPAgreements"/>
              <w:numPr>
                <w:ilvl w:val="1"/>
                <w:numId w:val="12"/>
              </w:numPr>
              <w:spacing w:line="240" w:lineRule="auto"/>
              <w:rPr>
                <w:rFonts w:ascii="Times New Roman" w:eastAsiaTheme="minorEastAsia" w:hAnsi="Times New Roman" w:cs="Times New Roman"/>
                <w:bCs/>
                <w:sz w:val="20"/>
                <w:szCs w:val="20"/>
                <w:lang w:eastAsia="zh-CN"/>
              </w:rPr>
            </w:pPr>
            <w:r w:rsidRPr="00D122EE">
              <w:rPr>
                <w:rFonts w:ascii="Times New Roman" w:eastAsiaTheme="minorEastAsia" w:hAnsi="Times New Roman" w:cs="Times New Roman"/>
                <w:bCs/>
                <w:sz w:val="20"/>
                <w:szCs w:val="20"/>
                <w:lang w:eastAsia="zh-CN"/>
              </w:rPr>
              <w:t>The timing error margin value is decided by UE/TRP among the candidate values defined in TS 38.133 based on its implementation.</w:t>
            </w:r>
          </w:p>
          <w:p w14:paraId="2E6ADB12" w14:textId="77777777" w:rsidR="009D0BBA" w:rsidRPr="00D122EE" w:rsidRDefault="009D0BBA" w:rsidP="00C500E0">
            <w:pPr>
              <w:pStyle w:val="3GPPAgreements"/>
              <w:numPr>
                <w:ilvl w:val="1"/>
                <w:numId w:val="12"/>
              </w:numPr>
              <w:spacing w:line="240" w:lineRule="auto"/>
              <w:rPr>
                <w:rFonts w:ascii="Times New Roman" w:eastAsiaTheme="minorEastAsia" w:hAnsi="Times New Roman" w:cs="Times New Roman"/>
                <w:bCs/>
                <w:sz w:val="20"/>
                <w:szCs w:val="20"/>
                <w:lang w:eastAsia="zh-CN"/>
              </w:rPr>
            </w:pPr>
            <w:r w:rsidRPr="00D122EE">
              <w:rPr>
                <w:rFonts w:ascii="Times New Roman" w:eastAsiaTheme="minorEastAsia" w:hAnsi="Times New Roman" w:cs="Times New Roman"/>
                <w:bCs/>
                <w:sz w:val="20"/>
                <w:szCs w:val="20"/>
                <w:lang w:eastAsia="zh-CN"/>
              </w:rPr>
              <w:t xml:space="preserve">UE/TRP will report the selected timing error margin value to LMF. </w:t>
            </w:r>
          </w:p>
          <w:p w14:paraId="54630DAA" w14:textId="1DE3BE89" w:rsidR="009D0BBA" w:rsidRPr="00D122EE" w:rsidRDefault="009D0BBA" w:rsidP="00C500E0">
            <w:pPr>
              <w:pStyle w:val="3GPPAgreements"/>
              <w:numPr>
                <w:ilvl w:val="1"/>
                <w:numId w:val="12"/>
              </w:numPr>
              <w:spacing w:line="240" w:lineRule="auto"/>
              <w:rPr>
                <w:rFonts w:ascii="Times New Roman" w:eastAsiaTheme="minorEastAsia" w:hAnsi="Times New Roman" w:cs="Times New Roman"/>
                <w:bCs/>
                <w:sz w:val="20"/>
                <w:szCs w:val="20"/>
                <w:lang w:eastAsia="zh-CN"/>
              </w:rPr>
            </w:pPr>
            <w:r w:rsidRPr="00D122EE">
              <w:rPr>
                <w:rFonts w:ascii="Times New Roman" w:eastAsiaTheme="minorEastAsia" w:hAnsi="Times New Roman" w:cs="Times New Roman"/>
                <w:bCs/>
                <w:sz w:val="20"/>
                <w:szCs w:val="20"/>
                <w:lang w:eastAsia="zh-CN"/>
              </w:rPr>
              <w:t xml:space="preserve">No NW recommendation on the timing error margin value is needed in R17. </w:t>
            </w:r>
          </w:p>
          <w:p w14:paraId="15C79D01" w14:textId="6C9EDD74" w:rsidR="005C0385" w:rsidRPr="00D122EE" w:rsidRDefault="005C0385" w:rsidP="00C500E0">
            <w:pPr>
              <w:pStyle w:val="3GPPAgreements"/>
              <w:rPr>
                <w:rFonts w:ascii="Times New Roman" w:hAnsi="Times New Roman" w:cs="Times New Roman"/>
                <w:sz w:val="20"/>
                <w:szCs w:val="20"/>
                <w:u w:val="single"/>
                <w:lang w:val="en-GB"/>
              </w:rPr>
            </w:pPr>
            <w:r w:rsidRPr="00D122EE">
              <w:rPr>
                <w:rFonts w:ascii="Times New Roman" w:hAnsi="Times New Roman" w:cs="Times New Roman"/>
                <w:sz w:val="20"/>
                <w:szCs w:val="20"/>
                <w:u w:val="single"/>
                <w:lang w:val="en-GB"/>
              </w:rPr>
              <w:t xml:space="preserve">Timing error margins for </w:t>
            </w:r>
            <w:proofErr w:type="spellStart"/>
            <w:r w:rsidRPr="00D122EE">
              <w:rPr>
                <w:rFonts w:ascii="Times New Roman" w:hAnsi="Times New Roman" w:cs="Times New Roman"/>
                <w:sz w:val="20"/>
                <w:szCs w:val="20"/>
                <w:u w:val="single"/>
                <w:lang w:val="en-GB"/>
              </w:rPr>
              <w:t>RxTx</w:t>
            </w:r>
            <w:proofErr w:type="spellEnd"/>
            <w:r w:rsidRPr="00D122EE">
              <w:rPr>
                <w:rFonts w:ascii="Times New Roman" w:hAnsi="Times New Roman" w:cs="Times New Roman"/>
                <w:sz w:val="20"/>
                <w:szCs w:val="20"/>
                <w:u w:val="single"/>
                <w:lang w:val="en-GB"/>
              </w:rPr>
              <w:t xml:space="preserve"> and Tx TEGs and number of timing error margins for each TEG type </w:t>
            </w:r>
          </w:p>
          <w:p w14:paraId="45CC73D9" w14:textId="77777777" w:rsidR="005C0385" w:rsidRPr="00D122EE" w:rsidRDefault="005C0385" w:rsidP="00C500E0">
            <w:pPr>
              <w:pStyle w:val="3GPPAgreements"/>
              <w:numPr>
                <w:ilvl w:val="1"/>
                <w:numId w:val="12"/>
              </w:numPr>
              <w:spacing w:line="240" w:lineRule="auto"/>
              <w:rPr>
                <w:rFonts w:ascii="Times New Roman" w:hAnsi="Times New Roman" w:cs="Times New Roman"/>
                <w:sz w:val="20"/>
                <w:szCs w:val="20"/>
              </w:rPr>
            </w:pPr>
            <w:r w:rsidRPr="00D122EE">
              <w:rPr>
                <w:rFonts w:ascii="Times New Roman" w:eastAsiaTheme="minorEastAsia" w:hAnsi="Times New Roman" w:cs="Times New Roman"/>
                <w:sz w:val="20"/>
                <w:szCs w:val="20"/>
                <w:lang w:eastAsia="zh-CN"/>
              </w:rPr>
              <w:t xml:space="preserve">RAN4 should finalize margins for RSTD and UE Rx-Tx measurement accuracy in Rel-16 before deciding on exact timing error margins for Rx, </w:t>
            </w:r>
            <w:proofErr w:type="spellStart"/>
            <w:r w:rsidRPr="00D122EE">
              <w:rPr>
                <w:rFonts w:ascii="Times New Roman" w:eastAsiaTheme="minorEastAsia" w:hAnsi="Times New Roman" w:cs="Times New Roman"/>
                <w:sz w:val="20"/>
                <w:szCs w:val="20"/>
                <w:lang w:eastAsia="zh-CN"/>
              </w:rPr>
              <w:t>RxTx</w:t>
            </w:r>
            <w:proofErr w:type="spellEnd"/>
            <w:r w:rsidRPr="00D122EE">
              <w:rPr>
                <w:rFonts w:ascii="Times New Roman" w:eastAsiaTheme="minorEastAsia" w:hAnsi="Times New Roman" w:cs="Times New Roman"/>
                <w:sz w:val="20"/>
                <w:szCs w:val="20"/>
                <w:lang w:eastAsia="zh-CN"/>
              </w:rPr>
              <w:t xml:space="preserve"> and Tx TEGs.</w:t>
            </w:r>
          </w:p>
          <w:p w14:paraId="45115A92" w14:textId="4F851962" w:rsidR="005C0385" w:rsidRPr="00D122EE" w:rsidRDefault="005C0385" w:rsidP="00C500E0">
            <w:pPr>
              <w:pStyle w:val="3GPPAgreements"/>
              <w:numPr>
                <w:ilvl w:val="1"/>
                <w:numId w:val="12"/>
              </w:numPr>
              <w:spacing w:line="240" w:lineRule="auto"/>
              <w:rPr>
                <w:rFonts w:ascii="Times New Roman" w:eastAsiaTheme="minorEastAsia" w:hAnsi="Times New Roman" w:cs="Times New Roman"/>
                <w:bCs/>
                <w:sz w:val="20"/>
                <w:szCs w:val="20"/>
                <w:lang w:eastAsia="zh-CN"/>
              </w:rPr>
            </w:pPr>
            <w:r w:rsidRPr="00D122EE">
              <w:rPr>
                <w:rFonts w:ascii="Times New Roman" w:eastAsiaTheme="minorEastAsia" w:hAnsi="Times New Roman" w:cs="Times New Roman"/>
                <w:sz w:val="20"/>
                <w:szCs w:val="20"/>
                <w:lang w:eastAsia="zh-CN"/>
              </w:rPr>
              <w:t xml:space="preserve">The candidate values of timing error margins associated with UE/TRP Rx TEGs, Tx TEGs and </w:t>
            </w:r>
            <w:proofErr w:type="spellStart"/>
            <w:r w:rsidRPr="00D122EE">
              <w:rPr>
                <w:rFonts w:ascii="Times New Roman" w:eastAsiaTheme="minorEastAsia" w:hAnsi="Times New Roman" w:cs="Times New Roman"/>
                <w:sz w:val="20"/>
                <w:szCs w:val="20"/>
                <w:lang w:eastAsia="zh-CN"/>
              </w:rPr>
              <w:t>RxTx</w:t>
            </w:r>
            <w:proofErr w:type="spellEnd"/>
            <w:r w:rsidRPr="00D122EE">
              <w:rPr>
                <w:rFonts w:ascii="Times New Roman" w:eastAsiaTheme="minorEastAsia" w:hAnsi="Times New Roman" w:cs="Times New Roman"/>
                <w:sz w:val="20"/>
                <w:szCs w:val="20"/>
                <w:lang w:eastAsia="zh-CN"/>
              </w:rPr>
              <w:t xml:space="preserve"> TEGs will be defined in Perf part.</w:t>
            </w:r>
          </w:p>
          <w:p w14:paraId="587DAB50" w14:textId="77777777" w:rsidR="005C0385" w:rsidRPr="00D122EE" w:rsidRDefault="005C0385" w:rsidP="00C500E0">
            <w:pPr>
              <w:pStyle w:val="3GPPAgreements"/>
              <w:rPr>
                <w:rFonts w:ascii="Times New Roman" w:hAnsi="Times New Roman" w:cs="Times New Roman"/>
                <w:sz w:val="20"/>
                <w:szCs w:val="20"/>
                <w:u w:val="single"/>
                <w:lang w:val="en-GB"/>
              </w:rPr>
            </w:pPr>
            <w:r w:rsidRPr="00D122EE">
              <w:rPr>
                <w:rFonts w:ascii="Times New Roman" w:hAnsi="Times New Roman" w:cs="Times New Roman"/>
                <w:sz w:val="20"/>
                <w:szCs w:val="20"/>
                <w:u w:val="single"/>
                <w:lang w:val="en-GB"/>
              </w:rPr>
              <w:t>Temporal validity of UE/TRP Tx TEG</w:t>
            </w:r>
          </w:p>
          <w:p w14:paraId="68221405" w14:textId="77777777" w:rsidR="005C0385" w:rsidRPr="00D122EE" w:rsidRDefault="005C0385" w:rsidP="00C500E0">
            <w:pPr>
              <w:pStyle w:val="3GPPAgreements"/>
              <w:numPr>
                <w:ilvl w:val="1"/>
                <w:numId w:val="12"/>
              </w:numPr>
              <w:spacing w:line="240" w:lineRule="auto"/>
              <w:rPr>
                <w:rFonts w:ascii="Times New Roman" w:hAnsi="Times New Roman" w:cs="Times New Roman"/>
                <w:sz w:val="20"/>
                <w:szCs w:val="20"/>
              </w:rPr>
            </w:pPr>
            <w:r w:rsidRPr="00D122EE">
              <w:rPr>
                <w:rFonts w:ascii="Times New Roman" w:eastAsiaTheme="minorEastAsia" w:hAnsi="Times New Roman" w:cs="Times New Roman"/>
                <w:sz w:val="20"/>
                <w:szCs w:val="20"/>
                <w:lang w:eastAsia="zh-CN"/>
              </w:rPr>
              <w:t>W</w:t>
            </w:r>
            <w:r w:rsidRPr="00D122EE">
              <w:rPr>
                <w:rFonts w:ascii="Times New Roman" w:hAnsi="Times New Roman" w:cs="Times New Roman"/>
                <w:sz w:val="20"/>
                <w:szCs w:val="20"/>
              </w:rPr>
              <w:t>ait RAN2 progress on how to signal a change in association between SRS resources to Tx TEGs</w:t>
            </w:r>
            <w:r w:rsidRPr="00D122EE">
              <w:rPr>
                <w:rFonts w:ascii="Times New Roman" w:eastAsiaTheme="minorEastAsia" w:hAnsi="Times New Roman" w:cs="Times New Roman"/>
                <w:sz w:val="20"/>
                <w:szCs w:val="20"/>
                <w:lang w:eastAsia="zh-CN"/>
              </w:rPr>
              <w:t xml:space="preserve">. </w:t>
            </w:r>
          </w:p>
          <w:p w14:paraId="61F0383A" w14:textId="77777777" w:rsidR="00F92125" w:rsidRPr="00F92125" w:rsidRDefault="00F92125" w:rsidP="00F92125">
            <w:pPr>
              <w:pStyle w:val="3GPPAgreements"/>
              <w:numPr>
                <w:ilvl w:val="0"/>
                <w:numId w:val="0"/>
              </w:numPr>
              <w:ind w:left="568"/>
              <w:rPr>
                <w:rFonts w:ascii="Times New Roman" w:hAnsi="Times New Roman" w:cs="Times New Roman"/>
                <w:sz w:val="20"/>
                <w:szCs w:val="20"/>
                <w:u w:val="single"/>
                <w:lang w:val="en-GB"/>
              </w:rPr>
            </w:pPr>
          </w:p>
          <w:p w14:paraId="398C9AE8" w14:textId="1B8F4253" w:rsidR="00C500E0" w:rsidRPr="00C500E0" w:rsidRDefault="00C500E0" w:rsidP="00C500E0">
            <w:pPr>
              <w:pStyle w:val="3GPPAgreements"/>
              <w:rPr>
                <w:rFonts w:ascii="Times New Roman" w:hAnsi="Times New Roman" w:cs="Times New Roman"/>
                <w:sz w:val="20"/>
                <w:szCs w:val="20"/>
                <w:u w:val="single"/>
                <w:lang w:val="en-GB"/>
              </w:rPr>
            </w:pPr>
            <w:r w:rsidRPr="00C500E0">
              <w:rPr>
                <w:rFonts w:ascii="Times New Roman" w:hAnsi="Times New Roman" w:cs="Times New Roman"/>
                <w:sz w:val="20"/>
                <w:szCs w:val="20"/>
                <w:u w:val="single"/>
              </w:rPr>
              <w:lastRenderedPageBreak/>
              <w:t>Impact of TEGs (including Rx/Tx/</w:t>
            </w:r>
            <w:proofErr w:type="spellStart"/>
            <w:r w:rsidRPr="00C500E0">
              <w:rPr>
                <w:rFonts w:ascii="Times New Roman" w:hAnsi="Times New Roman" w:cs="Times New Roman"/>
                <w:sz w:val="20"/>
                <w:szCs w:val="20"/>
                <w:u w:val="single"/>
              </w:rPr>
              <w:t>RxTx</w:t>
            </w:r>
            <w:proofErr w:type="spellEnd"/>
            <w:r w:rsidRPr="00C500E0">
              <w:rPr>
                <w:rFonts w:ascii="Times New Roman" w:hAnsi="Times New Roman" w:cs="Times New Roman"/>
                <w:sz w:val="20"/>
                <w:szCs w:val="20"/>
                <w:u w:val="single"/>
              </w:rPr>
              <w:t xml:space="preserve"> TEG) on PRS measurement core requirements</w:t>
            </w:r>
          </w:p>
          <w:p w14:paraId="7247EB97" w14:textId="77777777" w:rsidR="00C500E0" w:rsidRPr="00C500E0" w:rsidRDefault="00C500E0" w:rsidP="00C500E0">
            <w:pPr>
              <w:pStyle w:val="3GPPAgreements"/>
              <w:numPr>
                <w:ilvl w:val="1"/>
                <w:numId w:val="12"/>
              </w:numPr>
              <w:spacing w:line="240" w:lineRule="auto"/>
              <w:rPr>
                <w:rFonts w:ascii="Times New Roman" w:hAnsi="Times New Roman" w:cs="Times New Roman"/>
                <w:sz w:val="20"/>
                <w:szCs w:val="20"/>
              </w:rPr>
            </w:pPr>
            <w:r w:rsidRPr="00C500E0">
              <w:rPr>
                <w:rFonts w:ascii="Times New Roman" w:hAnsi="Times New Roman" w:cs="Times New Roman"/>
                <w:sz w:val="20"/>
                <w:szCs w:val="20"/>
              </w:rPr>
              <w:t xml:space="preserve">Subject to UE capability, if the LMF requests the UE to optionally measure the same DL PRS resource of a TRP with N different UE Rx TEGs and report the corresponding multiple RSTD measurements, the measurement period shall be extended. </w:t>
            </w:r>
          </w:p>
          <w:p w14:paraId="4C260228" w14:textId="77777777" w:rsidR="00C500E0" w:rsidRPr="00C500E0" w:rsidRDefault="00C500E0" w:rsidP="00C500E0">
            <w:pPr>
              <w:pStyle w:val="3GPPAgreements"/>
              <w:numPr>
                <w:ilvl w:val="1"/>
                <w:numId w:val="12"/>
              </w:numPr>
              <w:spacing w:line="240" w:lineRule="auto"/>
              <w:rPr>
                <w:rFonts w:ascii="Times New Roman" w:hAnsi="Times New Roman" w:cs="Times New Roman"/>
                <w:sz w:val="20"/>
                <w:szCs w:val="20"/>
              </w:rPr>
            </w:pPr>
            <w:r w:rsidRPr="00C500E0">
              <w:rPr>
                <w:rFonts w:ascii="Times New Roman" w:hAnsi="Times New Roman" w:cs="Times New Roman"/>
                <w:sz w:val="20"/>
                <w:szCs w:val="20"/>
              </w:rPr>
              <w:t>For UE that only supports RAN1 Rel-17 feature 27-1-4 and does not support 27-1-4a</w:t>
            </w:r>
          </w:p>
          <w:p w14:paraId="139D2077" w14:textId="77777777" w:rsidR="00C500E0" w:rsidRPr="00C500E0" w:rsidRDefault="00C500E0" w:rsidP="00C500E0">
            <w:pPr>
              <w:pStyle w:val="3GPPAgreements"/>
              <w:numPr>
                <w:ilvl w:val="1"/>
                <w:numId w:val="12"/>
              </w:numPr>
              <w:spacing w:line="240" w:lineRule="auto"/>
              <w:rPr>
                <w:rFonts w:ascii="Times New Roman" w:hAnsi="Times New Roman" w:cs="Times New Roman"/>
                <w:sz w:val="20"/>
                <w:szCs w:val="20"/>
              </w:rPr>
            </w:pPr>
            <w:r w:rsidRPr="00C500E0">
              <w:rPr>
                <w:rFonts w:ascii="Times New Roman" w:hAnsi="Times New Roman" w:cs="Times New Roman"/>
                <w:sz w:val="20"/>
                <w:szCs w:val="20"/>
              </w:rPr>
              <w:t xml:space="preserve">For UE that supports both RAN1 Rel-17 feature 27-1-4 and 27-1-4a </w:t>
            </w:r>
          </w:p>
          <w:p w14:paraId="0DF32377" w14:textId="77777777" w:rsidR="00C500E0" w:rsidRPr="00C500E0" w:rsidRDefault="00C500E0" w:rsidP="00C500E0">
            <w:pPr>
              <w:pStyle w:val="ListParagraph"/>
              <w:numPr>
                <w:ilvl w:val="2"/>
                <w:numId w:val="12"/>
              </w:numPr>
              <w:spacing w:after="120"/>
              <w:contextualSpacing w:val="0"/>
              <w:rPr>
                <w:rFonts w:cs="Times New Roman"/>
                <w:szCs w:val="20"/>
              </w:rPr>
            </w:pPr>
            <w:r w:rsidRPr="00C500E0">
              <w:rPr>
                <w:rFonts w:cs="Times New Roman"/>
                <w:szCs w:val="20"/>
              </w:rPr>
              <w:t xml:space="preserve">Option 1: The existing measurement period is scaled by </w:t>
            </w:r>
            <m:oMath>
              <m:d>
                <m:dPr>
                  <m:begChr m:val="⌈"/>
                  <m:endChr m:val="⌉"/>
                  <m:ctrlPr>
                    <w:rPr>
                      <w:rFonts w:ascii="Cambria Math" w:hAnsi="Cambria Math" w:cs="Times New Roman"/>
                      <w:szCs w:val="20"/>
                    </w:rPr>
                  </m:ctrlPr>
                </m:dPr>
                <m:e>
                  <m:r>
                    <m:rPr>
                      <m:sty m:val="p"/>
                    </m:rPr>
                    <w:rPr>
                      <w:rFonts w:ascii="Cambria Math" w:hAnsi="Cambria Math" w:cs="Times New Roman"/>
                      <w:szCs w:val="20"/>
                    </w:rPr>
                    <m:t>N/k</m:t>
                  </m:r>
                </m:e>
              </m:d>
            </m:oMath>
            <w:r w:rsidRPr="00C500E0">
              <w:rPr>
                <w:rFonts w:cs="Times New Roman"/>
                <w:szCs w:val="20"/>
              </w:rPr>
              <w:t xml:space="preserve"> if UE is requested to measure same PRS resource with N different UE Rx TEGs, where k is the value UE reports for 27-1-4a.</w:t>
            </w:r>
          </w:p>
          <w:p w14:paraId="183F582A" w14:textId="6A07B2EC" w:rsidR="008461CA" w:rsidRPr="00C500E0" w:rsidRDefault="008461CA" w:rsidP="00C500E0">
            <w:pPr>
              <w:pStyle w:val="3GPPAgreements"/>
              <w:rPr>
                <w:rFonts w:ascii="Times New Roman" w:hAnsi="Times New Roman" w:cs="Times New Roman"/>
                <w:sz w:val="20"/>
                <w:szCs w:val="20"/>
                <w:u w:val="single"/>
                <w:lang w:val="en-GB"/>
              </w:rPr>
            </w:pPr>
            <w:r w:rsidRPr="00C500E0">
              <w:rPr>
                <w:rFonts w:ascii="Times New Roman" w:hAnsi="Times New Roman" w:cs="Times New Roman"/>
                <w:sz w:val="20"/>
                <w:szCs w:val="20"/>
                <w:u w:val="single"/>
                <w:lang w:val="en-GB"/>
              </w:rPr>
              <w:t>Report</w:t>
            </w:r>
            <w:r w:rsidR="00C500E0" w:rsidRPr="00C500E0">
              <w:rPr>
                <w:rFonts w:ascii="Times New Roman" w:hAnsi="Times New Roman" w:cs="Times New Roman"/>
                <w:sz w:val="20"/>
                <w:szCs w:val="20"/>
                <w:u w:val="single"/>
                <w:lang w:val="en-GB"/>
              </w:rPr>
              <w:t xml:space="preserve"> of</w:t>
            </w:r>
            <w:r w:rsidRPr="00C500E0">
              <w:rPr>
                <w:rFonts w:ascii="Times New Roman" w:hAnsi="Times New Roman" w:cs="Times New Roman"/>
                <w:sz w:val="20"/>
                <w:szCs w:val="20"/>
                <w:u w:val="single"/>
                <w:lang w:val="en-GB"/>
              </w:rPr>
              <w:t xml:space="preserve"> </w:t>
            </w:r>
            <w:r w:rsidR="00C500E0" w:rsidRPr="00C500E0">
              <w:rPr>
                <w:rFonts w:ascii="Times New Roman" w:hAnsi="Times New Roman" w:cs="Times New Roman"/>
                <w:sz w:val="20"/>
                <w:szCs w:val="20"/>
                <w:u w:val="single"/>
                <w:lang w:val="en-GB"/>
              </w:rPr>
              <w:t>transmissions/measurements which cannot be associated with any TEG</w:t>
            </w:r>
          </w:p>
          <w:p w14:paraId="537BCE78" w14:textId="3AD785E6" w:rsidR="008461CA" w:rsidRPr="00C500E0" w:rsidRDefault="00C500E0" w:rsidP="00C500E0">
            <w:pPr>
              <w:pStyle w:val="3GPPAgreements"/>
              <w:numPr>
                <w:ilvl w:val="1"/>
                <w:numId w:val="12"/>
              </w:numPr>
              <w:spacing w:line="240" w:lineRule="auto"/>
              <w:rPr>
                <w:rFonts w:ascii="Times New Roman" w:eastAsia="SimSun" w:hAnsi="Times New Roman" w:cs="Times New Roman"/>
                <w:sz w:val="20"/>
                <w:szCs w:val="20"/>
                <w:lang w:eastAsia="zh-CN"/>
              </w:rPr>
            </w:pPr>
            <w:r w:rsidRPr="00C500E0">
              <w:rPr>
                <w:rFonts w:ascii="Times New Roman" w:eastAsia="SimSun" w:hAnsi="Times New Roman" w:cs="Times New Roman"/>
                <w:sz w:val="20"/>
                <w:szCs w:val="20"/>
                <w:lang w:eastAsia="zh-CN"/>
              </w:rPr>
              <w:t xml:space="preserve">RAN4 not to further discuss how to report the measurement without TEG association since RAN1 already has made agreements. </w:t>
            </w:r>
          </w:p>
        </w:tc>
      </w:tr>
    </w:tbl>
    <w:p w14:paraId="2EA6CE15" w14:textId="16735256" w:rsidR="00290B03" w:rsidRDefault="00290B03" w:rsidP="00290B03">
      <w:pPr>
        <w:spacing w:before="240"/>
      </w:pPr>
      <w:r>
        <w:lastRenderedPageBreak/>
        <w:t>The WF [</w:t>
      </w:r>
      <w:r w:rsidR="00A26008">
        <w:t>3</w:t>
      </w:r>
      <w:r>
        <w:t>] also contains following list of open issues</w:t>
      </w:r>
      <w:r w:rsidR="003A0879">
        <w:t xml:space="preserve"> </w:t>
      </w:r>
      <w:r w:rsidR="003C167D">
        <w:t xml:space="preserve">related to timing error mitigation </w:t>
      </w:r>
      <w:r w:rsidR="003A0879">
        <w:t>summarized below</w:t>
      </w:r>
      <w:r>
        <w:t>.</w:t>
      </w:r>
    </w:p>
    <w:tbl>
      <w:tblPr>
        <w:tblStyle w:val="TableGrid"/>
        <w:tblW w:w="0" w:type="auto"/>
        <w:tblLook w:val="04A0" w:firstRow="1" w:lastRow="0" w:firstColumn="1" w:lastColumn="0" w:noHBand="0" w:noVBand="1"/>
      </w:tblPr>
      <w:tblGrid>
        <w:gridCol w:w="9617"/>
      </w:tblGrid>
      <w:tr w:rsidR="00290B03" w14:paraId="15DD4BF2" w14:textId="77777777" w:rsidTr="00126456">
        <w:tc>
          <w:tcPr>
            <w:tcW w:w="9629" w:type="dxa"/>
          </w:tcPr>
          <w:p w14:paraId="503CD1DF" w14:textId="0152047B" w:rsidR="00290B03" w:rsidRPr="00EF0FE9" w:rsidRDefault="00290B03" w:rsidP="00126456">
            <w:pPr>
              <w:spacing w:after="120"/>
              <w:rPr>
                <w:rFonts w:eastAsiaTheme="minorEastAsia"/>
                <w:b/>
                <w:bCs/>
                <w:lang w:val="sv-SE" w:eastAsia="zh-CN"/>
              </w:rPr>
            </w:pPr>
            <w:r w:rsidRPr="00CF2BE2">
              <w:rPr>
                <w:rFonts w:eastAsiaTheme="minorEastAsia"/>
                <w:b/>
                <w:bCs/>
                <w:highlight w:val="yellow"/>
                <w:lang w:val="sv-SE" w:eastAsia="zh-CN"/>
              </w:rPr>
              <w:t>RAN4 #10</w:t>
            </w:r>
            <w:r w:rsidR="00076F46">
              <w:rPr>
                <w:rFonts w:eastAsiaTheme="minorEastAsia"/>
                <w:b/>
                <w:bCs/>
                <w:highlight w:val="yellow"/>
                <w:lang w:val="sv-SE" w:eastAsia="zh-CN"/>
              </w:rPr>
              <w:t>2</w:t>
            </w:r>
            <w:r w:rsidRPr="00CF2BE2">
              <w:rPr>
                <w:rFonts w:eastAsiaTheme="minorEastAsia"/>
                <w:b/>
                <w:bCs/>
                <w:highlight w:val="yellow"/>
                <w:lang w:val="sv-SE" w:eastAsia="zh-CN"/>
              </w:rPr>
              <w:t xml:space="preserve">-e </w:t>
            </w:r>
            <w:proofErr w:type="spellStart"/>
            <w:r w:rsidRPr="00CF2BE2">
              <w:rPr>
                <w:rFonts w:eastAsiaTheme="minorEastAsia"/>
                <w:b/>
                <w:bCs/>
                <w:highlight w:val="yellow"/>
                <w:lang w:val="sv-SE" w:eastAsia="zh-CN"/>
              </w:rPr>
              <w:t>Open</w:t>
            </w:r>
            <w:proofErr w:type="spellEnd"/>
            <w:r w:rsidRPr="00CF2BE2">
              <w:rPr>
                <w:rFonts w:eastAsiaTheme="minorEastAsia"/>
                <w:b/>
                <w:bCs/>
                <w:highlight w:val="yellow"/>
                <w:lang w:val="sv-SE" w:eastAsia="zh-CN"/>
              </w:rPr>
              <w:t xml:space="preserve"> </w:t>
            </w:r>
            <w:proofErr w:type="spellStart"/>
            <w:r w:rsidRPr="00CF2BE2">
              <w:rPr>
                <w:rFonts w:eastAsiaTheme="minorEastAsia"/>
                <w:b/>
                <w:bCs/>
                <w:highlight w:val="yellow"/>
                <w:lang w:val="sv-SE" w:eastAsia="zh-CN"/>
              </w:rPr>
              <w:t>issues</w:t>
            </w:r>
            <w:proofErr w:type="spellEnd"/>
            <w:r w:rsidRPr="00EF0FE9">
              <w:rPr>
                <w:rFonts w:eastAsiaTheme="minorEastAsia"/>
                <w:b/>
                <w:bCs/>
                <w:lang w:val="sv-SE" w:eastAsia="zh-CN"/>
              </w:rPr>
              <w:t xml:space="preserve"> </w:t>
            </w:r>
          </w:p>
          <w:p w14:paraId="725B8BBF" w14:textId="77777777" w:rsidR="00F92125" w:rsidRPr="00F92125" w:rsidRDefault="00F92125" w:rsidP="00F92125">
            <w:pPr>
              <w:pStyle w:val="3GPPAgreements"/>
              <w:rPr>
                <w:rFonts w:ascii="Times New Roman" w:hAnsi="Times New Roman" w:cs="Times New Roman"/>
                <w:sz w:val="20"/>
                <w:szCs w:val="20"/>
                <w:u w:val="single"/>
                <w:lang w:val="en-GB"/>
              </w:rPr>
            </w:pPr>
            <w:r w:rsidRPr="00F92125">
              <w:rPr>
                <w:rFonts w:ascii="Times New Roman" w:hAnsi="Times New Roman" w:cs="Times New Roman"/>
                <w:sz w:val="20"/>
                <w:szCs w:val="20"/>
                <w:u w:val="single"/>
                <w:lang w:val="en-GB"/>
              </w:rPr>
              <w:t>Temporal validity of UE/TRP Tx TEG</w:t>
            </w:r>
          </w:p>
          <w:p w14:paraId="37114A01" w14:textId="77777777" w:rsidR="00F92125" w:rsidRPr="005C0385" w:rsidRDefault="00F92125" w:rsidP="00F92125">
            <w:pPr>
              <w:pStyle w:val="3GPPAgreements"/>
              <w:numPr>
                <w:ilvl w:val="1"/>
                <w:numId w:val="12"/>
              </w:numPr>
              <w:spacing w:line="240" w:lineRule="auto"/>
              <w:rPr>
                <w:rFonts w:ascii="Times New Roman" w:hAnsi="Times New Roman" w:cs="Times New Roman"/>
                <w:sz w:val="20"/>
                <w:szCs w:val="20"/>
              </w:rPr>
            </w:pPr>
            <w:r w:rsidRPr="00F92125">
              <w:rPr>
                <w:rFonts w:ascii="Times New Roman" w:eastAsiaTheme="minorEastAsia" w:hAnsi="Times New Roman" w:cs="Times New Roman"/>
                <w:sz w:val="20"/>
                <w:szCs w:val="20"/>
                <w:lang w:eastAsia="zh-CN"/>
              </w:rPr>
              <w:t>FFS: The</w:t>
            </w:r>
            <w:r w:rsidRPr="005C0385">
              <w:rPr>
                <w:rFonts w:ascii="Times New Roman" w:eastAsiaTheme="minorEastAsia" w:hAnsi="Times New Roman" w:cs="Times New Roman"/>
                <w:sz w:val="20"/>
                <w:szCs w:val="20"/>
                <w:lang w:eastAsia="zh-CN"/>
              </w:rPr>
              <w:t xml:space="preserve"> applicability of reported UE Rx TEG agreed in last meeting can be reused for UE/TRP Tx TEG </w:t>
            </w:r>
            <w:proofErr w:type="gramStart"/>
            <w:r w:rsidRPr="005C0385">
              <w:rPr>
                <w:rFonts w:ascii="Times New Roman" w:eastAsiaTheme="minorEastAsia" w:hAnsi="Times New Roman" w:cs="Times New Roman"/>
                <w:sz w:val="20"/>
                <w:szCs w:val="20"/>
                <w:lang w:eastAsia="zh-CN"/>
              </w:rPr>
              <w:t>i.e.</w:t>
            </w:r>
            <w:proofErr w:type="gramEnd"/>
            <w:r w:rsidRPr="005C0385">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eastAsia="zh-CN"/>
              </w:rPr>
              <w:t>t</w:t>
            </w:r>
            <w:r w:rsidRPr="005C0385">
              <w:rPr>
                <w:rFonts w:ascii="Times New Roman" w:eastAsiaTheme="minorEastAsia" w:hAnsi="Times New Roman" w:cs="Times New Roman"/>
                <w:sz w:val="20"/>
                <w:szCs w:val="20"/>
                <w:lang w:eastAsia="zh-CN"/>
              </w:rPr>
              <w:t>he applicability of reported UE/TRP Tx TEG is limited to the measurements contained within the measurement report in which the Tx TEG information is provided. And it applies only to the measurements that are tagged with the corresponding Tx TEG ID.</w:t>
            </w:r>
          </w:p>
          <w:p w14:paraId="536C93BF" w14:textId="7755DD91" w:rsidR="00F92125" w:rsidRPr="00F92125" w:rsidRDefault="00F92125" w:rsidP="00F92125">
            <w:pPr>
              <w:pStyle w:val="3GPPAgreements"/>
              <w:spacing w:line="240" w:lineRule="auto"/>
              <w:rPr>
                <w:rFonts w:ascii="Times New Roman" w:eastAsiaTheme="minorEastAsia" w:hAnsi="Times New Roman" w:cs="Times New Roman"/>
                <w:bCs/>
                <w:sz w:val="20"/>
                <w:szCs w:val="20"/>
                <w:u w:val="single"/>
                <w:lang w:eastAsia="zh-CN"/>
              </w:rPr>
            </w:pPr>
            <w:r w:rsidRPr="00F92125">
              <w:rPr>
                <w:rFonts w:ascii="Times New Roman" w:hAnsi="Times New Roman" w:cs="Times New Roman"/>
                <w:sz w:val="20"/>
                <w:szCs w:val="20"/>
                <w:u w:val="single"/>
              </w:rPr>
              <w:t xml:space="preserve">Temporal validity of UE/TRP </w:t>
            </w:r>
            <w:proofErr w:type="spellStart"/>
            <w:r w:rsidRPr="00F92125">
              <w:rPr>
                <w:rFonts w:ascii="Times New Roman" w:hAnsi="Times New Roman" w:cs="Times New Roman"/>
                <w:sz w:val="20"/>
                <w:szCs w:val="20"/>
                <w:u w:val="single"/>
              </w:rPr>
              <w:t>RxTx</w:t>
            </w:r>
            <w:proofErr w:type="spellEnd"/>
            <w:r w:rsidRPr="00F92125">
              <w:rPr>
                <w:rFonts w:ascii="Times New Roman" w:hAnsi="Times New Roman" w:cs="Times New Roman"/>
                <w:sz w:val="20"/>
                <w:szCs w:val="20"/>
                <w:u w:val="single"/>
              </w:rPr>
              <w:t xml:space="preserve"> TEGs</w:t>
            </w:r>
            <w:r w:rsidRPr="00F92125">
              <w:rPr>
                <w:rFonts w:ascii="Times New Roman" w:eastAsiaTheme="minorEastAsia" w:hAnsi="Times New Roman" w:cs="Times New Roman"/>
                <w:bCs/>
                <w:sz w:val="20"/>
                <w:szCs w:val="20"/>
                <w:u w:val="single"/>
                <w:lang w:eastAsia="zh-CN"/>
              </w:rPr>
              <w:t xml:space="preserve"> </w:t>
            </w:r>
          </w:p>
          <w:p w14:paraId="37A5484D" w14:textId="32B58595" w:rsidR="00F92125" w:rsidRPr="00F92125" w:rsidRDefault="00F92125" w:rsidP="00F92125">
            <w:pPr>
              <w:pStyle w:val="3GPPAgreements"/>
              <w:numPr>
                <w:ilvl w:val="1"/>
                <w:numId w:val="12"/>
              </w:numPr>
              <w:spacing w:line="240" w:lineRule="auto"/>
              <w:rPr>
                <w:rFonts w:ascii="Times New Roman" w:eastAsiaTheme="minorEastAsia" w:hAnsi="Times New Roman" w:cs="Times New Roman"/>
                <w:bCs/>
                <w:sz w:val="20"/>
                <w:szCs w:val="20"/>
                <w:lang w:eastAsia="zh-CN"/>
              </w:rPr>
            </w:pPr>
            <w:r w:rsidRPr="00F92125">
              <w:rPr>
                <w:rFonts w:ascii="Times New Roman" w:eastAsiaTheme="minorEastAsia" w:hAnsi="Times New Roman" w:cs="Times New Roman"/>
                <w:bCs/>
                <w:sz w:val="20"/>
                <w:szCs w:val="20"/>
                <w:lang w:eastAsia="zh-CN"/>
              </w:rPr>
              <w:t>Option 1:  t</w:t>
            </w:r>
            <w:r w:rsidRPr="00F92125">
              <w:rPr>
                <w:rFonts w:ascii="Times New Roman" w:hAnsi="Times New Roman" w:cs="Times New Roman"/>
                <w:bCs/>
                <w:sz w:val="20"/>
                <w:szCs w:val="20"/>
              </w:rPr>
              <w:t xml:space="preserve">he applicability of reported UE Rx TEG agreed in last meeting can be reused for UE/TRP </w:t>
            </w:r>
            <w:proofErr w:type="spellStart"/>
            <w:r w:rsidRPr="00F92125">
              <w:rPr>
                <w:rFonts w:ascii="Times New Roman" w:hAnsi="Times New Roman" w:cs="Times New Roman"/>
                <w:bCs/>
                <w:sz w:val="20"/>
                <w:szCs w:val="20"/>
              </w:rPr>
              <w:t>RxTx</w:t>
            </w:r>
            <w:proofErr w:type="spellEnd"/>
            <w:r w:rsidRPr="00F92125">
              <w:rPr>
                <w:rFonts w:ascii="Times New Roman" w:hAnsi="Times New Roman" w:cs="Times New Roman"/>
                <w:bCs/>
                <w:sz w:val="20"/>
                <w:szCs w:val="20"/>
              </w:rPr>
              <w:t xml:space="preserve"> TEG </w:t>
            </w:r>
            <w:proofErr w:type="gramStart"/>
            <w:r w:rsidRPr="00F92125">
              <w:rPr>
                <w:rFonts w:ascii="Times New Roman" w:hAnsi="Times New Roman" w:cs="Times New Roman"/>
                <w:bCs/>
                <w:sz w:val="20"/>
                <w:szCs w:val="20"/>
              </w:rPr>
              <w:t>i.e.</w:t>
            </w:r>
            <w:proofErr w:type="gramEnd"/>
            <w:r w:rsidRPr="00F92125">
              <w:rPr>
                <w:rFonts w:ascii="Times New Roman" w:hAnsi="Times New Roman" w:cs="Times New Roman"/>
                <w:bCs/>
                <w:sz w:val="20"/>
                <w:szCs w:val="20"/>
              </w:rPr>
              <w:t xml:space="preserve"> </w:t>
            </w:r>
            <w:r w:rsidR="006A5F1A">
              <w:rPr>
                <w:rFonts w:ascii="Times New Roman" w:hAnsi="Times New Roman" w:cs="Times New Roman"/>
                <w:bCs/>
                <w:sz w:val="20"/>
                <w:szCs w:val="20"/>
              </w:rPr>
              <w:t>t</w:t>
            </w:r>
            <w:r w:rsidRPr="00F92125">
              <w:rPr>
                <w:rFonts w:ascii="Times New Roman" w:hAnsi="Times New Roman" w:cs="Times New Roman"/>
                <w:bCs/>
                <w:sz w:val="20"/>
                <w:szCs w:val="20"/>
              </w:rPr>
              <w:t xml:space="preserve">he applicability of reported UE/TRP </w:t>
            </w:r>
            <w:proofErr w:type="spellStart"/>
            <w:r w:rsidRPr="00F92125">
              <w:rPr>
                <w:rFonts w:ascii="Times New Roman" w:hAnsi="Times New Roman" w:cs="Times New Roman"/>
                <w:bCs/>
                <w:sz w:val="20"/>
                <w:szCs w:val="20"/>
              </w:rPr>
              <w:t>RxTx</w:t>
            </w:r>
            <w:proofErr w:type="spellEnd"/>
            <w:r w:rsidRPr="00F92125">
              <w:rPr>
                <w:rFonts w:ascii="Times New Roman" w:hAnsi="Times New Roman" w:cs="Times New Roman"/>
                <w:bCs/>
                <w:sz w:val="20"/>
                <w:szCs w:val="20"/>
              </w:rPr>
              <w:t xml:space="preserve"> TEG is limited to the measurements contained within the measurement report in which the </w:t>
            </w:r>
            <w:proofErr w:type="spellStart"/>
            <w:r w:rsidRPr="00F92125">
              <w:rPr>
                <w:rFonts w:ascii="Times New Roman" w:hAnsi="Times New Roman" w:cs="Times New Roman"/>
                <w:bCs/>
                <w:sz w:val="20"/>
                <w:szCs w:val="20"/>
              </w:rPr>
              <w:t>RxTx</w:t>
            </w:r>
            <w:proofErr w:type="spellEnd"/>
            <w:r w:rsidRPr="00F92125">
              <w:rPr>
                <w:rFonts w:ascii="Times New Roman" w:hAnsi="Times New Roman" w:cs="Times New Roman"/>
                <w:bCs/>
                <w:sz w:val="20"/>
                <w:szCs w:val="20"/>
              </w:rPr>
              <w:t xml:space="preserve"> TEG information is provided. And it applies only to the measurements that are tagged with the corresponding </w:t>
            </w:r>
            <w:proofErr w:type="spellStart"/>
            <w:r w:rsidRPr="00F92125">
              <w:rPr>
                <w:rFonts w:ascii="Times New Roman" w:hAnsi="Times New Roman" w:cs="Times New Roman"/>
                <w:bCs/>
                <w:sz w:val="20"/>
                <w:szCs w:val="20"/>
              </w:rPr>
              <w:t>RxTx</w:t>
            </w:r>
            <w:proofErr w:type="spellEnd"/>
            <w:r w:rsidRPr="00F92125">
              <w:rPr>
                <w:rFonts w:ascii="Times New Roman" w:hAnsi="Times New Roman" w:cs="Times New Roman"/>
                <w:bCs/>
                <w:sz w:val="20"/>
                <w:szCs w:val="20"/>
              </w:rPr>
              <w:t xml:space="preserve"> TEG ID</w:t>
            </w:r>
            <w:r w:rsidRPr="00F92125">
              <w:rPr>
                <w:rFonts w:ascii="Times New Roman" w:eastAsiaTheme="minorEastAsia" w:hAnsi="Times New Roman" w:cs="Times New Roman"/>
                <w:bCs/>
                <w:sz w:val="20"/>
                <w:szCs w:val="20"/>
                <w:lang w:eastAsia="zh-CN"/>
              </w:rPr>
              <w:t xml:space="preserve">. </w:t>
            </w:r>
          </w:p>
          <w:p w14:paraId="62A9598C" w14:textId="0CCF7629" w:rsidR="00F92125" w:rsidRPr="00F92125" w:rsidRDefault="00F92125" w:rsidP="00F92125">
            <w:pPr>
              <w:pStyle w:val="3GPPAgreements"/>
              <w:numPr>
                <w:ilvl w:val="1"/>
                <w:numId w:val="12"/>
              </w:numPr>
              <w:spacing w:line="240" w:lineRule="auto"/>
              <w:rPr>
                <w:rFonts w:eastAsiaTheme="minorEastAsia"/>
                <w:bCs/>
                <w:lang w:eastAsia="zh-CN"/>
              </w:rPr>
            </w:pPr>
            <w:r w:rsidRPr="00F92125">
              <w:rPr>
                <w:rFonts w:ascii="Times New Roman" w:eastAsiaTheme="minorEastAsia" w:hAnsi="Times New Roman" w:cs="Times New Roman"/>
                <w:bCs/>
                <w:sz w:val="20"/>
                <w:szCs w:val="20"/>
                <w:lang w:eastAsia="zh-CN"/>
              </w:rPr>
              <w:t>Option 2: up to RAN2.</w:t>
            </w:r>
            <w:r w:rsidRPr="00F92125">
              <w:rPr>
                <w:rFonts w:eastAsiaTheme="minorEastAsia" w:hint="eastAsia"/>
                <w:bCs/>
                <w:lang w:eastAsia="zh-CN"/>
              </w:rPr>
              <w:t xml:space="preserve"> </w:t>
            </w:r>
          </w:p>
        </w:tc>
      </w:tr>
    </w:tbl>
    <w:p w14:paraId="773BFC00" w14:textId="32180127" w:rsidR="00A26008" w:rsidRDefault="00A26008" w:rsidP="00290B03">
      <w:pPr>
        <w:spacing w:before="120" w:after="60" w:line="240" w:lineRule="auto"/>
        <w:ind w:right="-23"/>
      </w:pPr>
      <w:r>
        <w:t>RAN4 also sent an LS on TEG framework to RAN1 from RAN4 #102-</w:t>
      </w:r>
      <w:r w:rsidRPr="00A26008">
        <w:t>e [4] askin</w:t>
      </w:r>
      <w:r>
        <w:t xml:space="preserve">g confirmation of RAN4’s understanding and about remaining issues. </w:t>
      </w:r>
    </w:p>
    <w:p w14:paraId="034937BB" w14:textId="2C41E6B2" w:rsidR="005433E0" w:rsidRPr="00290B03" w:rsidRDefault="00290B03" w:rsidP="00290B03">
      <w:pPr>
        <w:spacing w:before="120" w:after="60" w:line="240" w:lineRule="auto"/>
        <w:ind w:right="-23"/>
        <w:rPr>
          <w:lang w:val="en-GB"/>
        </w:rPr>
      </w:pPr>
      <w:r w:rsidRPr="006375D2">
        <w:t xml:space="preserve">This contribution treats open RAN4 issues </w:t>
      </w:r>
      <w:r>
        <w:t xml:space="preserve">related to </w:t>
      </w:r>
      <w:r w:rsidRPr="00D24DA1">
        <w:t xml:space="preserve">mitigating UE Rx/Tx and/or </w:t>
      </w:r>
      <w:proofErr w:type="spellStart"/>
      <w:r w:rsidRPr="00D24DA1">
        <w:t>gNB</w:t>
      </w:r>
      <w:proofErr w:type="spellEnd"/>
      <w:r w:rsidRPr="00D24DA1">
        <w:t xml:space="preserve"> Rx/Tx timing delays</w:t>
      </w:r>
      <w:r>
        <w:t>.</w:t>
      </w:r>
    </w:p>
    <w:p w14:paraId="2FF6A72B" w14:textId="2E3F1D84" w:rsidR="003B659E" w:rsidRDefault="003B659E" w:rsidP="00AE56B1">
      <w:pPr>
        <w:pStyle w:val="RAN4H1"/>
      </w:pPr>
      <w:r w:rsidRPr="001433B1">
        <w:t>Discussion</w:t>
      </w:r>
    </w:p>
    <w:p w14:paraId="6DDCC9B6" w14:textId="1324074C" w:rsidR="0007543F" w:rsidRDefault="003C167D" w:rsidP="00290B03">
      <w:pPr>
        <w:rPr>
          <w:lang w:eastAsia="ja-JP"/>
        </w:rPr>
      </w:pPr>
      <w:r>
        <w:rPr>
          <w:lang w:eastAsia="ja-JP"/>
        </w:rPr>
        <w:t xml:space="preserve">In this section, </w:t>
      </w:r>
      <w:r w:rsidR="00A26008">
        <w:rPr>
          <w:lang w:eastAsia="ja-JP"/>
        </w:rPr>
        <w:t xml:space="preserve">we discuss </w:t>
      </w:r>
      <w:r>
        <w:rPr>
          <w:lang w:eastAsia="ja-JP"/>
        </w:rPr>
        <w:t>a</w:t>
      </w:r>
      <w:r w:rsidR="00290B03">
        <w:rPr>
          <w:lang w:eastAsia="ja-JP"/>
        </w:rPr>
        <w:t xml:space="preserve">bove listed </w:t>
      </w:r>
      <w:r>
        <w:rPr>
          <w:lang w:eastAsia="ja-JP"/>
        </w:rPr>
        <w:t xml:space="preserve">open </w:t>
      </w:r>
      <w:r w:rsidR="00290B03">
        <w:rPr>
          <w:lang w:eastAsia="ja-JP"/>
        </w:rPr>
        <w:t>issues from RAN4 #10</w:t>
      </w:r>
      <w:r w:rsidR="0062297B">
        <w:rPr>
          <w:lang w:eastAsia="ja-JP"/>
        </w:rPr>
        <w:t>2</w:t>
      </w:r>
      <w:r w:rsidR="00290B03">
        <w:rPr>
          <w:lang w:eastAsia="ja-JP"/>
        </w:rPr>
        <w:t xml:space="preserve">-e </w:t>
      </w:r>
      <w:r>
        <w:rPr>
          <w:lang w:eastAsia="ja-JP"/>
        </w:rPr>
        <w:t xml:space="preserve">[2] </w:t>
      </w:r>
      <w:r w:rsidR="002448F8">
        <w:rPr>
          <w:lang w:eastAsia="ja-JP"/>
        </w:rPr>
        <w:t>taking into account Email discussion at RAN4 #10</w:t>
      </w:r>
      <w:r w:rsidR="0062297B">
        <w:rPr>
          <w:lang w:eastAsia="ja-JP"/>
        </w:rPr>
        <w:t>2</w:t>
      </w:r>
      <w:r w:rsidR="002448F8">
        <w:rPr>
          <w:lang w:eastAsia="ja-JP"/>
        </w:rPr>
        <w:t>-e [</w:t>
      </w:r>
      <w:r w:rsidR="00A26008">
        <w:rPr>
          <w:lang w:eastAsia="ja-JP"/>
        </w:rPr>
        <w:t>2</w:t>
      </w:r>
      <w:r w:rsidR="002448F8">
        <w:rPr>
          <w:lang w:eastAsia="ja-JP"/>
        </w:rPr>
        <w:t>]</w:t>
      </w:r>
      <w:r w:rsidR="0007543F">
        <w:rPr>
          <w:lang w:eastAsia="ja-JP"/>
        </w:rPr>
        <w:t>.</w:t>
      </w:r>
    </w:p>
    <w:p w14:paraId="68555D49" w14:textId="77777777" w:rsidR="00A26008" w:rsidRPr="00CA51FF" w:rsidRDefault="00A26008" w:rsidP="00A26008">
      <w:pPr>
        <w:pStyle w:val="RAN4H2"/>
        <w:rPr>
          <w:lang w:val="en-GB"/>
        </w:rPr>
      </w:pPr>
      <w:r w:rsidRPr="00CA51FF">
        <w:rPr>
          <w:lang w:val="en-GB"/>
        </w:rPr>
        <w:t>Impact of TEG</w:t>
      </w:r>
      <w:r>
        <w:rPr>
          <w:lang w:val="en-GB"/>
        </w:rPr>
        <w:t xml:space="preserve"> framework on </w:t>
      </w:r>
      <w:r w:rsidRPr="00CA51FF">
        <w:rPr>
          <w:lang w:val="en-GB"/>
        </w:rPr>
        <w:t>measurement requirements</w:t>
      </w:r>
    </w:p>
    <w:p w14:paraId="2DD1C19B" w14:textId="0AF3552F" w:rsidR="004D1BB9" w:rsidRDefault="004D1BB9" w:rsidP="0023156D">
      <w:pPr>
        <w:spacing w:after="120"/>
      </w:pPr>
      <w:r w:rsidRPr="004D1BB9">
        <w:t>The TEG association information</w:t>
      </w:r>
      <w:r>
        <w:t>,</w:t>
      </w:r>
      <w:r w:rsidRPr="004D1BB9">
        <w:t xml:space="preserve"> </w:t>
      </w:r>
      <w:r>
        <w:t xml:space="preserve">signaled as part of the TEG framework, </w:t>
      </w:r>
      <w:r w:rsidRPr="004D1BB9">
        <w:t xml:space="preserve">for the timing measurements RSTD and UL-RTOA includes Rx TEG </w:t>
      </w:r>
      <w:r>
        <w:t xml:space="preserve">association </w:t>
      </w:r>
      <w:r w:rsidRPr="004D1BB9">
        <w:t xml:space="preserve">information and corresponding Tx TEG </w:t>
      </w:r>
      <w:r>
        <w:t xml:space="preserve">association </w:t>
      </w:r>
      <w:r w:rsidRPr="004D1BB9">
        <w:t xml:space="preserve">information added by the transmitter. </w:t>
      </w:r>
    </w:p>
    <w:p w14:paraId="70B93B05" w14:textId="4DF58527" w:rsidR="004D1BB9" w:rsidRDefault="004D1BB9" w:rsidP="0023156D">
      <w:pPr>
        <w:pStyle w:val="ListParagraph"/>
        <w:numPr>
          <w:ilvl w:val="0"/>
          <w:numId w:val="39"/>
        </w:numPr>
        <w:spacing w:after="120"/>
        <w:ind w:left="714" w:hanging="357"/>
        <w:contextualSpacing w:val="0"/>
      </w:pPr>
      <w:r w:rsidRPr="004D1BB9">
        <w:t xml:space="preserve">The Rx TEG </w:t>
      </w:r>
      <w:r>
        <w:t xml:space="preserve">association </w:t>
      </w:r>
      <w:r w:rsidRPr="004D1BB9">
        <w:t>information is forwarded to LMF along the measurement</w:t>
      </w:r>
      <w:r w:rsidR="00DF6B00">
        <w:t xml:space="preserve"> </w:t>
      </w:r>
      <w:r w:rsidR="00DF6B00" w:rsidRPr="004D1BB9">
        <w:t>in case of RSTD</w:t>
      </w:r>
      <w:r w:rsidR="0023156D">
        <w:t xml:space="preserve"> and</w:t>
      </w:r>
      <w:r w:rsidR="0023156D" w:rsidRPr="004D1BB9">
        <w:t xml:space="preserve"> is intended to refer to measurements over the same measurement period, which are conveyed in the same measurement report to LMF.</w:t>
      </w:r>
    </w:p>
    <w:p w14:paraId="0A7308D6" w14:textId="77777777" w:rsidR="00DF6B00" w:rsidRDefault="004D1BB9" w:rsidP="0023156D">
      <w:pPr>
        <w:pStyle w:val="ListParagraph"/>
        <w:numPr>
          <w:ilvl w:val="0"/>
          <w:numId w:val="39"/>
        </w:numPr>
        <w:spacing w:after="120"/>
        <w:ind w:left="714" w:hanging="357"/>
        <w:contextualSpacing w:val="0"/>
      </w:pPr>
      <w:r w:rsidRPr="004D1BB9">
        <w:t xml:space="preserve">The Tx TEG </w:t>
      </w:r>
      <w:r w:rsidR="00DF6B00">
        <w:t xml:space="preserve">association </w:t>
      </w:r>
      <w:r w:rsidRPr="004D1BB9">
        <w:t>information is reported to LMF in implementation-specific manner in case of RSTD, else for UL-RTOA, requested by serving TRP</w:t>
      </w:r>
      <w:r w:rsidR="00DF6B00">
        <w:t xml:space="preserve"> </w:t>
      </w:r>
      <w:r w:rsidRPr="004D1BB9">
        <w:t xml:space="preserve">with a configured periodicity </w:t>
      </w:r>
      <w:r>
        <w:t>according to the RAN1 design [6]</w:t>
      </w:r>
      <w:r w:rsidR="00DF6B00">
        <w:t xml:space="preserve"> and is then </w:t>
      </w:r>
      <w:r w:rsidR="00DF6B00" w:rsidRPr="004D1BB9">
        <w:t>forwarded via serving TRP to LMF</w:t>
      </w:r>
      <w:r>
        <w:t>.</w:t>
      </w:r>
      <w:r w:rsidR="00DF6B00">
        <w:t xml:space="preserve"> Whether Tx TEG reporting is based on changes to Tx TEG association information, using configured periodicity, is currently addressed by RAN2.  </w:t>
      </w:r>
    </w:p>
    <w:p w14:paraId="11CED962" w14:textId="04F8DE3A" w:rsidR="0023156D" w:rsidRDefault="004D1BB9" w:rsidP="0023156D">
      <w:pPr>
        <w:pStyle w:val="ListParagraph"/>
        <w:numPr>
          <w:ilvl w:val="0"/>
          <w:numId w:val="39"/>
        </w:numPr>
        <w:spacing w:after="120"/>
        <w:ind w:left="714" w:hanging="357"/>
        <w:contextualSpacing w:val="0"/>
      </w:pPr>
      <w:r w:rsidRPr="004D1BB9">
        <w:t xml:space="preserve">The </w:t>
      </w:r>
      <w:proofErr w:type="spellStart"/>
      <w:r w:rsidR="00DF6B00">
        <w:t>RxTx</w:t>
      </w:r>
      <w:proofErr w:type="spellEnd"/>
      <w:r w:rsidR="00DF6B00">
        <w:t xml:space="preserve"> </w:t>
      </w:r>
      <w:r w:rsidRPr="004D1BB9">
        <w:t xml:space="preserve">TEG association information for the timing measurements UE Rx-Tx time difference and </w:t>
      </w:r>
      <w:proofErr w:type="spellStart"/>
      <w:r w:rsidRPr="004D1BB9">
        <w:t>gNB</w:t>
      </w:r>
      <w:proofErr w:type="spellEnd"/>
      <w:r w:rsidRPr="004D1BB9">
        <w:t xml:space="preserve"> Rx-Tx time difference will be reported </w:t>
      </w:r>
      <w:r w:rsidR="0023156D">
        <w:t xml:space="preserve">by UE and TRP, respectively, </w:t>
      </w:r>
      <w:r w:rsidRPr="004D1BB9">
        <w:t xml:space="preserve">to LMF along the measurement. </w:t>
      </w:r>
    </w:p>
    <w:p w14:paraId="2DE8A87D" w14:textId="078570B3" w:rsidR="00A26008" w:rsidRDefault="00A26008" w:rsidP="0023156D">
      <w:r w:rsidRPr="000C73BB">
        <w:lastRenderedPageBreak/>
        <w:t xml:space="preserve">In </w:t>
      </w:r>
      <w:r>
        <w:t>our view</w:t>
      </w:r>
      <w:r w:rsidRPr="000C73BB">
        <w:t xml:space="preserve">, the TEG framework </w:t>
      </w:r>
      <w:r>
        <w:t>needs to</w:t>
      </w:r>
      <w:r w:rsidRPr="000C73BB">
        <w:t xml:space="preserve"> be defined first together with basic RRM core requirements, </w:t>
      </w:r>
      <w:proofErr w:type="gramStart"/>
      <w:r w:rsidRPr="000C73BB">
        <w:t>i.e.</w:t>
      </w:r>
      <w:proofErr w:type="gramEnd"/>
      <w:r w:rsidRPr="000C73BB">
        <w:t xml:space="preserve"> how specification support of Tx TEG, </w:t>
      </w:r>
      <w:proofErr w:type="spellStart"/>
      <w:r w:rsidRPr="000C73BB">
        <w:t>RxTx</w:t>
      </w:r>
      <w:proofErr w:type="spellEnd"/>
      <w:r w:rsidRPr="000C73BB">
        <w:t xml:space="preserve"> TEG and Rx TEG </w:t>
      </w:r>
      <w:r w:rsidR="0023156D">
        <w:t xml:space="preserve">association information </w:t>
      </w:r>
      <w:r w:rsidRPr="000C73BB">
        <w:t xml:space="preserve">can be achieved. There may be likely an impact on measurement core requirements such as measurement period requirements or measurement delay requirements in case of identified change of Rx / </w:t>
      </w:r>
      <w:proofErr w:type="spellStart"/>
      <w:r w:rsidRPr="000C73BB">
        <w:t>RxTx</w:t>
      </w:r>
      <w:proofErr w:type="spellEnd"/>
      <w:r w:rsidRPr="000C73BB">
        <w:t xml:space="preserve"> / Tx TEG during the measurement period or due to change of serving cell. We propose </w:t>
      </w:r>
      <w:r w:rsidR="0023156D">
        <w:t xml:space="preserve">to </w:t>
      </w:r>
      <w:r>
        <w:t>postpone</w:t>
      </w:r>
      <w:r w:rsidRPr="000C73BB">
        <w:t xml:space="preserve"> this </w:t>
      </w:r>
      <w:r w:rsidR="0023156D">
        <w:t xml:space="preserve">discussion </w:t>
      </w:r>
      <w:r w:rsidRPr="000C73BB">
        <w:t>until the TEG framework is settled in alignment with RAN1</w:t>
      </w:r>
      <w:r>
        <w:t xml:space="preserve"> and RAN2</w:t>
      </w:r>
      <w:r w:rsidRPr="000C73BB">
        <w:t xml:space="preserve">.  </w:t>
      </w:r>
    </w:p>
    <w:p w14:paraId="51949DA0" w14:textId="656A9686" w:rsidR="00A26008" w:rsidRPr="00CA51FF" w:rsidRDefault="00A26008" w:rsidP="00A26008">
      <w:r>
        <w:t xml:space="preserve">Regarding the TEG framework, RAN4 sent an LS to RAN1 from </w:t>
      </w:r>
      <w:r w:rsidRPr="00A26008">
        <w:t>RAN4 #102-e [4] asking confirmation of RAN4’s understanding and about remaining issues. It is noted RAN2 also sent LS to RAN1 from RAN2 #117-e [5], asking</w:t>
      </w:r>
      <w:r>
        <w:t xml:space="preserve"> clarifications on the TEG framework, </w:t>
      </w:r>
      <w:proofErr w:type="gramStart"/>
      <w:r>
        <w:t>e.g.</w:t>
      </w:r>
      <w:proofErr w:type="gramEnd"/>
      <w:r>
        <w:t xml:space="preserve"> on definitions and Tx TEG reporting. Thus, RAN4 should await RAN1’s reply before proceeding with measurement requirements. </w:t>
      </w:r>
    </w:p>
    <w:p w14:paraId="4D6FD146" w14:textId="77777777" w:rsidR="00A26008" w:rsidRPr="00CA51FF" w:rsidRDefault="00A26008" w:rsidP="00A26008">
      <w:pPr>
        <w:overflowPunct w:val="0"/>
        <w:autoSpaceDE w:val="0"/>
        <w:autoSpaceDN w:val="0"/>
        <w:adjustRightInd w:val="0"/>
        <w:spacing w:after="180"/>
        <w:rPr>
          <w:rFonts w:eastAsia="Calibri" w:cs="Times New Roman"/>
          <w:szCs w:val="20"/>
          <w:lang w:val="en-GB"/>
        </w:rPr>
      </w:pPr>
      <w:r w:rsidRPr="00CA51FF">
        <w:rPr>
          <w:rFonts w:eastAsia="Calibri" w:cs="Times New Roman"/>
          <w:szCs w:val="20"/>
          <w:lang w:val="en-GB"/>
        </w:rPr>
        <w:t>Following proposal is made:</w:t>
      </w:r>
    </w:p>
    <w:p w14:paraId="4220331B" w14:textId="4B494AFF" w:rsidR="00A26008" w:rsidRPr="00A26008" w:rsidRDefault="00A26008" w:rsidP="00290B03">
      <w:pPr>
        <w:pStyle w:val="RAN4proposal"/>
        <w:ind w:left="1134" w:hanging="1134"/>
        <w:rPr>
          <w:szCs w:val="20"/>
        </w:rPr>
      </w:pPr>
      <w:r w:rsidRPr="00CA51FF">
        <w:rPr>
          <w:lang w:val="en-GB"/>
        </w:rPr>
        <w:tab/>
      </w:r>
      <w:r>
        <w:rPr>
          <w:lang w:val="en-GB"/>
        </w:rPr>
        <w:t xml:space="preserve">Whether there is </w:t>
      </w:r>
      <w:r w:rsidRPr="0035721B">
        <w:rPr>
          <w:szCs w:val="20"/>
        </w:rPr>
        <w:t>impact on the core requirements from TEG framework</w:t>
      </w:r>
      <w:r>
        <w:rPr>
          <w:szCs w:val="20"/>
        </w:rPr>
        <w:t xml:space="preserve">, can be assessed once </w:t>
      </w:r>
      <w:r w:rsidRPr="008F7230">
        <w:rPr>
          <w:lang w:val="en-GB"/>
        </w:rPr>
        <w:t>the TEG framework is settled in alignment with RAN1</w:t>
      </w:r>
      <w:r>
        <w:rPr>
          <w:lang w:val="en-GB"/>
        </w:rPr>
        <w:t xml:space="preserve"> and RAN2</w:t>
      </w:r>
      <w:r w:rsidRPr="00CA51FF">
        <w:rPr>
          <w:szCs w:val="20"/>
        </w:rPr>
        <w:t>.</w:t>
      </w:r>
    </w:p>
    <w:p w14:paraId="7D702D18" w14:textId="5E1FCCBD" w:rsidR="00932116" w:rsidRPr="000C73BB" w:rsidRDefault="00A26008" w:rsidP="00A26008">
      <w:pPr>
        <w:pStyle w:val="RAN4H2"/>
        <w:rPr>
          <w:lang w:val="en-GB"/>
        </w:rPr>
      </w:pPr>
      <w:r>
        <w:rPr>
          <w:lang w:val="en-GB"/>
        </w:rPr>
        <w:t xml:space="preserve">Temporal validity of UE/TRP </w:t>
      </w:r>
      <w:r w:rsidR="00932116" w:rsidRPr="000C73BB">
        <w:rPr>
          <w:lang w:val="en-GB"/>
        </w:rPr>
        <w:t>Tx TEGs</w:t>
      </w:r>
    </w:p>
    <w:p w14:paraId="51B9C93A" w14:textId="0A789C29" w:rsidR="00EB09BC" w:rsidRDefault="00D43366" w:rsidP="00D43366">
      <w:pPr>
        <w:rPr>
          <w:lang w:val="en-GB"/>
        </w:rPr>
      </w:pPr>
      <w:r w:rsidRPr="000C73BB">
        <w:rPr>
          <w:lang w:val="en-GB"/>
        </w:rPr>
        <w:t>RAN4 #10</w:t>
      </w:r>
      <w:r w:rsidR="004028E2">
        <w:rPr>
          <w:lang w:val="en-GB"/>
        </w:rPr>
        <w:t>2</w:t>
      </w:r>
      <w:r w:rsidRPr="000C73BB">
        <w:rPr>
          <w:lang w:val="en-GB"/>
        </w:rPr>
        <w:t xml:space="preserve">-e </w:t>
      </w:r>
      <w:r w:rsidR="004028E2">
        <w:rPr>
          <w:lang w:val="en-GB"/>
        </w:rPr>
        <w:t>agreed to aw</w:t>
      </w:r>
      <w:r w:rsidR="004028E2" w:rsidRPr="004028E2">
        <w:rPr>
          <w:lang w:val="en-GB"/>
        </w:rPr>
        <w:t xml:space="preserve">ait RAN2 progress on how to signal a change in association between SRS resources to Tx TEGs. </w:t>
      </w:r>
      <w:r w:rsidR="004028E2">
        <w:rPr>
          <w:lang w:val="en-GB"/>
        </w:rPr>
        <w:t>It is noted RAN2 has sent LS [5] to RAN1 asking clarification, whether the T</w:t>
      </w:r>
      <w:r w:rsidR="00652BD8">
        <w:rPr>
          <w:lang w:val="en-GB"/>
        </w:rPr>
        <w:t>x</w:t>
      </w:r>
      <w:r w:rsidR="004028E2">
        <w:rPr>
          <w:lang w:val="en-GB"/>
        </w:rPr>
        <w:t xml:space="preserve"> TEG association </w:t>
      </w:r>
      <w:r w:rsidR="009B6E5F">
        <w:rPr>
          <w:lang w:val="en-GB"/>
        </w:rPr>
        <w:t xml:space="preserve">information </w:t>
      </w:r>
      <w:r w:rsidR="004028E2">
        <w:rPr>
          <w:lang w:val="en-GB"/>
        </w:rPr>
        <w:t xml:space="preserve">will be reported periodically with configured periodicity or </w:t>
      </w:r>
      <w:proofErr w:type="spellStart"/>
      <w:r w:rsidR="004028E2">
        <w:rPr>
          <w:lang w:val="en-GB"/>
        </w:rPr>
        <w:t>aperiodically</w:t>
      </w:r>
      <w:proofErr w:type="spellEnd"/>
      <w:r w:rsidR="00D122EE">
        <w:rPr>
          <w:lang w:val="en-GB"/>
        </w:rPr>
        <w:t xml:space="preserve">, i.e. </w:t>
      </w:r>
      <w:r w:rsidR="004028E2">
        <w:rPr>
          <w:lang w:val="en-GB"/>
        </w:rPr>
        <w:t>on</w:t>
      </w:r>
      <w:r w:rsidR="00EB09BC">
        <w:rPr>
          <w:lang w:val="en-GB"/>
        </w:rPr>
        <w:t>c</w:t>
      </w:r>
      <w:r w:rsidR="004028E2">
        <w:rPr>
          <w:lang w:val="en-GB"/>
        </w:rPr>
        <w:t xml:space="preserve">e the Tx TEG association changes.  </w:t>
      </w:r>
      <w:r w:rsidR="00EB09BC">
        <w:rPr>
          <w:lang w:val="en-GB"/>
        </w:rPr>
        <w:t xml:space="preserve">RAN1 has sent reply LS [6] indicating their decision to </w:t>
      </w:r>
      <w:r w:rsidR="00EB09BC" w:rsidRPr="00EB09BC">
        <w:rPr>
          <w:lang w:val="en-GB"/>
        </w:rPr>
        <w:t>support periodicity reporting of UE Tx TEG association for the SRS resources for positioning was made mainly based on the consideration of the signalling simplicity</w:t>
      </w:r>
      <w:r w:rsidR="00EB09BC">
        <w:rPr>
          <w:lang w:val="en-GB"/>
        </w:rPr>
        <w:t xml:space="preserve"> and further </w:t>
      </w:r>
      <w:r w:rsidR="00EB09BC" w:rsidRPr="00EB09BC">
        <w:rPr>
          <w:lang w:val="en-GB"/>
        </w:rPr>
        <w:t xml:space="preserve">signalling optimization </w:t>
      </w:r>
      <w:r w:rsidR="00EB09BC">
        <w:rPr>
          <w:lang w:val="en-GB"/>
        </w:rPr>
        <w:t>being</w:t>
      </w:r>
      <w:r w:rsidR="00EB09BC" w:rsidRPr="00EB09BC">
        <w:rPr>
          <w:lang w:val="en-GB"/>
        </w:rPr>
        <w:t xml:space="preserve"> up to RAN2.</w:t>
      </w:r>
      <w:r w:rsidR="00EB09BC">
        <w:rPr>
          <w:lang w:val="en-GB"/>
        </w:rPr>
        <w:t xml:space="preserve"> </w:t>
      </w:r>
    </w:p>
    <w:p w14:paraId="2BECF6FE" w14:textId="422EE113" w:rsidR="00D43366" w:rsidRDefault="00EB09BC" w:rsidP="00D43366">
      <w:pPr>
        <w:rPr>
          <w:rFonts w:eastAsiaTheme="minorEastAsia" w:cs="Times New Roman"/>
          <w:szCs w:val="20"/>
          <w:lang w:eastAsia="zh-CN"/>
        </w:rPr>
      </w:pPr>
      <w:r>
        <w:rPr>
          <w:lang w:val="en-GB"/>
        </w:rPr>
        <w:t xml:space="preserve">RAN4 #102-e </w:t>
      </w:r>
      <w:r w:rsidR="004028E2">
        <w:rPr>
          <w:lang w:val="en-GB"/>
        </w:rPr>
        <w:t xml:space="preserve">could not agree whether the temporal validity of UE </w:t>
      </w:r>
      <w:r>
        <w:rPr>
          <w:lang w:val="en-GB"/>
        </w:rPr>
        <w:t>R</w:t>
      </w:r>
      <w:r w:rsidR="004028E2">
        <w:rPr>
          <w:lang w:val="en-GB"/>
        </w:rPr>
        <w:t xml:space="preserve">x TEGs </w:t>
      </w:r>
      <w:r>
        <w:rPr>
          <w:lang w:val="en-GB"/>
        </w:rPr>
        <w:t xml:space="preserve">can be reused for </w:t>
      </w:r>
      <w:r w:rsidRPr="005C0385">
        <w:rPr>
          <w:rFonts w:eastAsiaTheme="minorEastAsia" w:cs="Times New Roman"/>
          <w:szCs w:val="20"/>
          <w:lang w:eastAsia="zh-CN"/>
        </w:rPr>
        <w:t xml:space="preserve">applicability of reported UE/TRP Tx TEG i.e. </w:t>
      </w:r>
      <w:r>
        <w:rPr>
          <w:rFonts w:eastAsiaTheme="minorEastAsia" w:cs="Times New Roman"/>
          <w:szCs w:val="20"/>
          <w:lang w:eastAsia="zh-CN"/>
        </w:rPr>
        <w:t>whether t</w:t>
      </w:r>
      <w:r w:rsidRPr="005C0385">
        <w:rPr>
          <w:rFonts w:eastAsiaTheme="minorEastAsia" w:cs="Times New Roman"/>
          <w:szCs w:val="20"/>
          <w:lang w:eastAsia="zh-CN"/>
        </w:rPr>
        <w:t xml:space="preserve">he applicability of reported UE/TRP Tx TEG is limited to the measurements contained within the measurement report in which the Tx TEG </w:t>
      </w:r>
      <w:r w:rsidR="009B6E5F">
        <w:rPr>
          <w:rFonts w:eastAsiaTheme="minorEastAsia" w:cs="Times New Roman"/>
          <w:szCs w:val="20"/>
          <w:lang w:eastAsia="zh-CN"/>
        </w:rPr>
        <w:t xml:space="preserve">association </w:t>
      </w:r>
      <w:r w:rsidRPr="005C0385">
        <w:rPr>
          <w:rFonts w:eastAsiaTheme="minorEastAsia" w:cs="Times New Roman"/>
          <w:szCs w:val="20"/>
          <w:lang w:eastAsia="zh-CN"/>
        </w:rPr>
        <w:t>information is provided</w:t>
      </w:r>
      <w:r w:rsidR="00652BD8">
        <w:rPr>
          <w:rFonts w:eastAsiaTheme="minorEastAsia" w:cs="Times New Roman"/>
          <w:szCs w:val="20"/>
          <w:lang w:eastAsia="zh-CN"/>
        </w:rPr>
        <w:t xml:space="preserve"> which are</w:t>
      </w:r>
      <w:r w:rsidRPr="005C0385">
        <w:rPr>
          <w:rFonts w:eastAsiaTheme="minorEastAsia" w:cs="Times New Roman"/>
          <w:szCs w:val="20"/>
          <w:lang w:eastAsia="zh-CN"/>
        </w:rPr>
        <w:t xml:space="preserve"> tagged with the corresponding Tx TEG ID.</w:t>
      </w:r>
    </w:p>
    <w:p w14:paraId="3B17339E" w14:textId="7047CF1D" w:rsidR="00652BD8" w:rsidRPr="000C73BB" w:rsidRDefault="00652BD8" w:rsidP="00D43366">
      <w:pPr>
        <w:rPr>
          <w:lang w:val="en-GB"/>
        </w:rPr>
      </w:pPr>
      <w:r>
        <w:rPr>
          <w:rFonts w:eastAsiaTheme="minorEastAsia" w:cs="Times New Roman"/>
          <w:szCs w:val="20"/>
          <w:lang w:eastAsia="zh-CN"/>
        </w:rPr>
        <w:t xml:space="preserve">In our view, as periodic reporting of UE Tx TEG </w:t>
      </w:r>
      <w:r w:rsidRPr="00EB09BC">
        <w:rPr>
          <w:lang w:val="en-GB"/>
        </w:rPr>
        <w:t xml:space="preserve">association for the SRS resources for positioning </w:t>
      </w:r>
      <w:r>
        <w:rPr>
          <w:rFonts w:eastAsiaTheme="minorEastAsia" w:cs="Times New Roman"/>
          <w:szCs w:val="20"/>
          <w:lang w:eastAsia="zh-CN"/>
        </w:rPr>
        <w:t>is foreseen by RAN1, the applicability rule can be the same as for UE/TRP Rx TEG</w:t>
      </w:r>
      <w:r w:rsidR="009B6E5F">
        <w:rPr>
          <w:rFonts w:eastAsiaTheme="minorEastAsia" w:cs="Times New Roman"/>
          <w:szCs w:val="20"/>
          <w:lang w:eastAsia="zh-CN"/>
        </w:rPr>
        <w:t xml:space="preserve"> association</w:t>
      </w:r>
      <w:r>
        <w:rPr>
          <w:rFonts w:eastAsiaTheme="minorEastAsia" w:cs="Times New Roman"/>
          <w:szCs w:val="20"/>
          <w:lang w:eastAsia="zh-CN"/>
        </w:rPr>
        <w:t xml:space="preserve">, </w:t>
      </w:r>
      <w:proofErr w:type="gramStart"/>
      <w:r>
        <w:rPr>
          <w:rFonts w:eastAsiaTheme="minorEastAsia" w:cs="Times New Roman"/>
          <w:szCs w:val="20"/>
          <w:lang w:eastAsia="zh-CN"/>
        </w:rPr>
        <w:t>i.e.</w:t>
      </w:r>
      <w:proofErr w:type="gramEnd"/>
      <w:r>
        <w:rPr>
          <w:rFonts w:eastAsiaTheme="minorEastAsia" w:cs="Times New Roman"/>
          <w:szCs w:val="20"/>
          <w:lang w:eastAsia="zh-CN"/>
        </w:rPr>
        <w:t xml:space="preserve"> the UE/TRP Tx TEG association is part of one measurement report only and tagged with the same Tx TEG ID. </w:t>
      </w:r>
    </w:p>
    <w:p w14:paraId="307A3D91" w14:textId="77777777" w:rsidR="00D84F7E" w:rsidRPr="000C73BB" w:rsidRDefault="00D84F7E" w:rsidP="00D84F7E">
      <w:pPr>
        <w:overflowPunct w:val="0"/>
        <w:autoSpaceDE w:val="0"/>
        <w:autoSpaceDN w:val="0"/>
        <w:adjustRightInd w:val="0"/>
        <w:spacing w:after="180"/>
        <w:rPr>
          <w:rFonts w:eastAsia="Calibri" w:cs="Times New Roman"/>
          <w:szCs w:val="20"/>
          <w:lang w:val="en-GB"/>
        </w:rPr>
      </w:pPr>
      <w:r w:rsidRPr="000C73BB">
        <w:rPr>
          <w:rFonts w:eastAsia="Calibri" w:cs="Times New Roman"/>
          <w:szCs w:val="20"/>
          <w:lang w:val="en-GB"/>
        </w:rPr>
        <w:t xml:space="preserve">Following proposal is made: </w:t>
      </w:r>
    </w:p>
    <w:p w14:paraId="7E918A79" w14:textId="0C65B7CF" w:rsidR="00D84F7E" w:rsidRDefault="00D84F7E" w:rsidP="006F2363">
      <w:pPr>
        <w:pStyle w:val="RAN4proposal"/>
        <w:spacing w:before="180"/>
        <w:ind w:left="1134" w:hanging="1134"/>
        <w:rPr>
          <w:lang w:val="en-GB"/>
        </w:rPr>
      </w:pPr>
      <w:r w:rsidRPr="000C73BB">
        <w:rPr>
          <w:lang w:val="en-GB"/>
        </w:rPr>
        <w:tab/>
      </w:r>
      <w:r w:rsidR="00905D86" w:rsidRPr="000C73BB">
        <w:rPr>
          <w:lang w:val="en-GB"/>
        </w:rPr>
        <w:t xml:space="preserve">RAN4 to </w:t>
      </w:r>
      <w:r w:rsidR="00652BD8">
        <w:rPr>
          <w:lang w:val="en-GB"/>
        </w:rPr>
        <w:t xml:space="preserve">use the same applicability rule for UE/TRP Tx TEG association </w:t>
      </w:r>
      <w:r w:rsidR="00217ABC">
        <w:rPr>
          <w:lang w:val="en-GB"/>
        </w:rPr>
        <w:t xml:space="preserve">information </w:t>
      </w:r>
      <w:r w:rsidR="00652BD8">
        <w:rPr>
          <w:lang w:val="en-GB"/>
        </w:rPr>
        <w:t>as for UE Rx TEG association</w:t>
      </w:r>
      <w:r w:rsidR="00217ABC">
        <w:rPr>
          <w:lang w:val="en-GB"/>
        </w:rPr>
        <w:t xml:space="preserve"> information</w:t>
      </w:r>
      <w:r w:rsidR="00652BD8">
        <w:rPr>
          <w:lang w:val="en-GB"/>
        </w:rPr>
        <w:t>.</w:t>
      </w:r>
    </w:p>
    <w:p w14:paraId="174BFC94" w14:textId="26B77D6D" w:rsidR="00020CFD" w:rsidRPr="000C73BB" w:rsidRDefault="00020CFD" w:rsidP="00020CFD">
      <w:pPr>
        <w:pStyle w:val="RAN4H2"/>
        <w:rPr>
          <w:lang w:val="en-GB"/>
        </w:rPr>
      </w:pPr>
      <w:r>
        <w:rPr>
          <w:lang w:val="en-GB"/>
        </w:rPr>
        <w:t xml:space="preserve">Temporal validity of UE/TRP </w:t>
      </w:r>
      <w:proofErr w:type="spellStart"/>
      <w:r>
        <w:rPr>
          <w:lang w:val="en-GB"/>
        </w:rPr>
        <w:t>Rx</w:t>
      </w:r>
      <w:r w:rsidRPr="000C73BB">
        <w:rPr>
          <w:lang w:val="en-GB"/>
        </w:rPr>
        <w:t>Tx</w:t>
      </w:r>
      <w:proofErr w:type="spellEnd"/>
      <w:r w:rsidRPr="000C73BB">
        <w:rPr>
          <w:lang w:val="en-GB"/>
        </w:rPr>
        <w:t xml:space="preserve"> TEGs</w:t>
      </w:r>
    </w:p>
    <w:p w14:paraId="57D43362" w14:textId="2609BD2E" w:rsidR="00217ABC" w:rsidRPr="000C73BB" w:rsidRDefault="00020CFD" w:rsidP="00217ABC">
      <w:pPr>
        <w:rPr>
          <w:lang w:val="en-GB"/>
        </w:rPr>
      </w:pPr>
      <w:r>
        <w:rPr>
          <w:lang w:val="en-GB"/>
        </w:rPr>
        <w:t>The same discussion as for UE</w:t>
      </w:r>
      <w:r w:rsidR="00D122EE">
        <w:rPr>
          <w:lang w:val="en-GB"/>
        </w:rPr>
        <w:t>/TRP</w:t>
      </w:r>
      <w:r>
        <w:rPr>
          <w:lang w:val="en-GB"/>
        </w:rPr>
        <w:t xml:space="preserve"> Tx TEG association </w:t>
      </w:r>
      <w:r w:rsidR="00D122EE">
        <w:rPr>
          <w:lang w:val="en-GB"/>
        </w:rPr>
        <w:t xml:space="preserve">information </w:t>
      </w:r>
      <w:r>
        <w:rPr>
          <w:lang w:val="en-GB"/>
        </w:rPr>
        <w:t xml:space="preserve">applies here. The difference is only the TEG type. </w:t>
      </w:r>
      <w:r w:rsidR="00217ABC">
        <w:rPr>
          <w:lang w:val="en-GB"/>
        </w:rPr>
        <w:t xml:space="preserve">But the applicability rule can be the same </w:t>
      </w:r>
      <w:r w:rsidR="00217ABC">
        <w:rPr>
          <w:rFonts w:eastAsiaTheme="minorEastAsia" w:cs="Times New Roman"/>
          <w:szCs w:val="20"/>
          <w:lang w:eastAsia="zh-CN"/>
        </w:rPr>
        <w:t>as for UE/TRP Rx TEG</w:t>
      </w:r>
      <w:r w:rsidR="009B6E5F">
        <w:rPr>
          <w:rFonts w:eastAsiaTheme="minorEastAsia" w:cs="Times New Roman"/>
          <w:szCs w:val="20"/>
          <w:lang w:eastAsia="zh-CN"/>
        </w:rPr>
        <w:t xml:space="preserve"> association</w:t>
      </w:r>
      <w:r w:rsidR="00217ABC">
        <w:rPr>
          <w:rFonts w:eastAsiaTheme="minorEastAsia" w:cs="Times New Roman"/>
          <w:szCs w:val="20"/>
          <w:lang w:eastAsia="zh-CN"/>
        </w:rPr>
        <w:t xml:space="preserve">, i.e. the UE/TRP </w:t>
      </w:r>
      <w:proofErr w:type="spellStart"/>
      <w:r w:rsidR="00217ABC">
        <w:rPr>
          <w:rFonts w:eastAsiaTheme="minorEastAsia" w:cs="Times New Roman"/>
          <w:szCs w:val="20"/>
          <w:lang w:eastAsia="zh-CN"/>
        </w:rPr>
        <w:t>RxTx</w:t>
      </w:r>
      <w:proofErr w:type="spellEnd"/>
      <w:r w:rsidR="00217ABC">
        <w:rPr>
          <w:rFonts w:eastAsiaTheme="minorEastAsia" w:cs="Times New Roman"/>
          <w:szCs w:val="20"/>
          <w:lang w:eastAsia="zh-CN"/>
        </w:rPr>
        <w:t xml:space="preserve"> TEG association </w:t>
      </w:r>
      <w:r w:rsidR="009B6E5F">
        <w:rPr>
          <w:rFonts w:eastAsiaTheme="minorEastAsia" w:cs="Times New Roman"/>
          <w:szCs w:val="20"/>
          <w:lang w:eastAsia="zh-CN"/>
        </w:rPr>
        <w:t>i</w:t>
      </w:r>
      <w:r w:rsidR="00217ABC">
        <w:rPr>
          <w:rFonts w:eastAsiaTheme="minorEastAsia" w:cs="Times New Roman"/>
          <w:szCs w:val="20"/>
          <w:lang w:eastAsia="zh-CN"/>
        </w:rPr>
        <w:t xml:space="preserve">s part of one measurement report only and tagged with the same </w:t>
      </w:r>
      <w:proofErr w:type="spellStart"/>
      <w:r w:rsidR="00217ABC">
        <w:rPr>
          <w:rFonts w:eastAsiaTheme="minorEastAsia" w:cs="Times New Roman"/>
          <w:szCs w:val="20"/>
          <w:lang w:eastAsia="zh-CN"/>
        </w:rPr>
        <w:t>RxTx</w:t>
      </w:r>
      <w:proofErr w:type="spellEnd"/>
      <w:r w:rsidR="00217ABC">
        <w:rPr>
          <w:rFonts w:eastAsiaTheme="minorEastAsia" w:cs="Times New Roman"/>
          <w:szCs w:val="20"/>
          <w:lang w:eastAsia="zh-CN"/>
        </w:rPr>
        <w:t xml:space="preserve"> TEG ID. </w:t>
      </w:r>
    </w:p>
    <w:p w14:paraId="447004F7" w14:textId="77777777" w:rsidR="00020CFD" w:rsidRPr="000C73BB" w:rsidRDefault="00020CFD" w:rsidP="00020CFD">
      <w:pPr>
        <w:overflowPunct w:val="0"/>
        <w:autoSpaceDE w:val="0"/>
        <w:autoSpaceDN w:val="0"/>
        <w:adjustRightInd w:val="0"/>
        <w:spacing w:after="180"/>
        <w:rPr>
          <w:rFonts w:eastAsia="Calibri" w:cs="Times New Roman"/>
          <w:szCs w:val="20"/>
          <w:lang w:val="en-GB"/>
        </w:rPr>
      </w:pPr>
      <w:r w:rsidRPr="000C73BB">
        <w:rPr>
          <w:rFonts w:eastAsia="Calibri" w:cs="Times New Roman"/>
          <w:szCs w:val="20"/>
          <w:lang w:val="en-GB"/>
        </w:rPr>
        <w:t xml:space="preserve">Following proposal is made: </w:t>
      </w:r>
    </w:p>
    <w:p w14:paraId="187B44AF" w14:textId="02CC4DF0" w:rsidR="00020CFD" w:rsidRPr="000C73BB" w:rsidRDefault="00020CFD" w:rsidP="00217ABC">
      <w:pPr>
        <w:pStyle w:val="RAN4proposal"/>
        <w:ind w:left="1134" w:hanging="1134"/>
        <w:rPr>
          <w:lang w:val="en-GB"/>
        </w:rPr>
      </w:pPr>
      <w:r w:rsidRPr="000C73BB">
        <w:rPr>
          <w:lang w:val="en-GB"/>
        </w:rPr>
        <w:tab/>
        <w:t xml:space="preserve">RAN4 to </w:t>
      </w:r>
      <w:r>
        <w:rPr>
          <w:lang w:val="en-GB"/>
        </w:rPr>
        <w:t xml:space="preserve">use the same applicability rule for UE/TRP </w:t>
      </w:r>
      <w:proofErr w:type="spellStart"/>
      <w:r>
        <w:rPr>
          <w:lang w:val="en-GB"/>
        </w:rPr>
        <w:t>RxTx</w:t>
      </w:r>
      <w:proofErr w:type="spellEnd"/>
      <w:r>
        <w:rPr>
          <w:lang w:val="en-GB"/>
        </w:rPr>
        <w:t xml:space="preserve"> TEG association </w:t>
      </w:r>
      <w:r w:rsidR="00217ABC">
        <w:rPr>
          <w:lang w:val="en-GB"/>
        </w:rPr>
        <w:t xml:space="preserve">information </w:t>
      </w:r>
      <w:r>
        <w:rPr>
          <w:lang w:val="en-GB"/>
        </w:rPr>
        <w:t>as for UE Rx TEG</w:t>
      </w:r>
      <w:r w:rsidR="00217ABC">
        <w:rPr>
          <w:lang w:val="en-GB"/>
        </w:rPr>
        <w:t xml:space="preserve"> </w:t>
      </w:r>
      <w:r>
        <w:rPr>
          <w:lang w:val="en-GB"/>
        </w:rPr>
        <w:t>association</w:t>
      </w:r>
      <w:r w:rsidR="00217ABC">
        <w:rPr>
          <w:lang w:val="en-GB"/>
        </w:rPr>
        <w:t xml:space="preserve"> information</w:t>
      </w:r>
      <w:r>
        <w:rPr>
          <w:lang w:val="en-GB"/>
        </w:rPr>
        <w:t>.</w:t>
      </w:r>
    </w:p>
    <w:p w14:paraId="761516E1" w14:textId="62696686" w:rsidR="00CD7492" w:rsidRPr="001433B1" w:rsidRDefault="00CD7492" w:rsidP="00A37002">
      <w:pPr>
        <w:pStyle w:val="RAN4H1"/>
      </w:pPr>
      <w:r w:rsidRPr="001433B1">
        <w:t>Conclusion</w:t>
      </w:r>
    </w:p>
    <w:p w14:paraId="5F5221B2" w14:textId="69746ED9" w:rsidR="00EF3696" w:rsidRPr="00EF3696" w:rsidRDefault="00F341FB" w:rsidP="00D113F6">
      <w:r w:rsidRPr="00F341FB">
        <w:rPr>
          <w:rFonts w:eastAsia="Calibri" w:cs="Times New Roman"/>
          <w:szCs w:val="20"/>
          <w:lang w:val="en-GB"/>
        </w:rPr>
        <w:t xml:space="preserve">In this contribution, we provide our view on open issues related to </w:t>
      </w:r>
      <w:r w:rsidR="00217ABC">
        <w:rPr>
          <w:rFonts w:eastAsia="Calibri" w:cs="Times New Roman"/>
          <w:szCs w:val="20"/>
          <w:lang w:val="en-GB"/>
        </w:rPr>
        <w:t xml:space="preserve">core requirements for </w:t>
      </w:r>
      <w:r w:rsidRPr="00F341FB">
        <w:rPr>
          <w:rFonts w:eastAsia="Calibri" w:cs="Times New Roman"/>
          <w:szCs w:val="20"/>
          <w:lang w:val="en-GB"/>
        </w:rPr>
        <w:t xml:space="preserve">timing </w:t>
      </w:r>
      <w:r w:rsidR="00131E0D">
        <w:rPr>
          <w:rFonts w:eastAsia="Calibri" w:cs="Times New Roman"/>
          <w:szCs w:val="20"/>
          <w:lang w:val="en-GB"/>
        </w:rPr>
        <w:t>error</w:t>
      </w:r>
      <w:r w:rsidRPr="00F341FB">
        <w:rPr>
          <w:rFonts w:eastAsia="Calibri" w:cs="Times New Roman"/>
          <w:szCs w:val="20"/>
          <w:lang w:val="en-GB"/>
        </w:rPr>
        <w:t xml:space="preserve"> mitigation. </w:t>
      </w:r>
    </w:p>
    <w:p w14:paraId="1BFB0693" w14:textId="552AB676" w:rsidR="00126456" w:rsidRPr="00126456" w:rsidRDefault="008E6FD8" w:rsidP="00126456">
      <w:pPr>
        <w:rPr>
          <w:lang w:val="en-GB"/>
        </w:rPr>
      </w:pPr>
      <w:r w:rsidRPr="001433B1">
        <w:rPr>
          <w:lang w:val="en-GB"/>
        </w:rPr>
        <w:t>Following proposals are made</w:t>
      </w:r>
      <w:r w:rsidR="00305CDD" w:rsidRPr="001433B1">
        <w:rPr>
          <w:lang w:val="en-GB"/>
        </w:rPr>
        <w:t>:</w:t>
      </w:r>
    </w:p>
    <w:p w14:paraId="0837F6F8" w14:textId="3C21833E" w:rsidR="00126456" w:rsidRPr="00126456" w:rsidRDefault="00126456" w:rsidP="000C73BB">
      <w:pPr>
        <w:pStyle w:val="RAN4proposal"/>
        <w:numPr>
          <w:ilvl w:val="0"/>
          <w:numId w:val="26"/>
        </w:numPr>
        <w:spacing w:after="120"/>
        <w:ind w:left="1134" w:hanging="1134"/>
        <w:rPr>
          <w:lang w:val="en-GB"/>
        </w:rPr>
      </w:pPr>
      <w:r w:rsidRPr="00126456">
        <w:rPr>
          <w:lang w:val="en-GB"/>
        </w:rPr>
        <w:tab/>
      </w:r>
      <w:r w:rsidR="00217ABC" w:rsidRPr="00217ABC">
        <w:rPr>
          <w:rFonts w:cs="Times New Roman"/>
          <w:szCs w:val="20"/>
        </w:rPr>
        <w:t>Whether there is impact on the core requirements from TEG framework, can be assessed once the TEG framework is settled in alignment with RAN1 and RAN2.</w:t>
      </w:r>
    </w:p>
    <w:p w14:paraId="3521C3C2" w14:textId="4707902E" w:rsidR="00126456" w:rsidRPr="00126456" w:rsidRDefault="000C73BB" w:rsidP="000C73BB">
      <w:pPr>
        <w:pStyle w:val="RAN4proposal"/>
        <w:spacing w:after="120"/>
        <w:ind w:left="1134" w:hanging="1134"/>
        <w:rPr>
          <w:iCs w:val="0"/>
          <w:szCs w:val="20"/>
        </w:rPr>
      </w:pPr>
      <w:r>
        <w:rPr>
          <w:rFonts w:cs="Times New Roman"/>
          <w:szCs w:val="20"/>
        </w:rPr>
        <w:lastRenderedPageBreak/>
        <w:tab/>
      </w:r>
      <w:r w:rsidR="00217ABC" w:rsidRPr="000C73BB">
        <w:rPr>
          <w:lang w:val="en-GB"/>
        </w:rPr>
        <w:t xml:space="preserve">RAN4 to </w:t>
      </w:r>
      <w:r w:rsidR="00217ABC">
        <w:rPr>
          <w:lang w:val="en-GB"/>
        </w:rPr>
        <w:t>use the same applicability rule for UE/TRP Tx TEG association information as for UE Rx TEG association information</w:t>
      </w:r>
      <w:r w:rsidR="00126456" w:rsidRPr="006541B9">
        <w:rPr>
          <w:iCs w:val="0"/>
          <w:szCs w:val="20"/>
        </w:rPr>
        <w:t>.</w:t>
      </w:r>
    </w:p>
    <w:p w14:paraId="4E021A2B" w14:textId="54FAE363" w:rsidR="0024765C" w:rsidRPr="0024765C" w:rsidRDefault="00126456" w:rsidP="000C73BB">
      <w:pPr>
        <w:pStyle w:val="RAN4proposal"/>
        <w:spacing w:after="120"/>
        <w:ind w:left="1134" w:hanging="1134"/>
        <w:rPr>
          <w:lang w:val="en-GB"/>
        </w:rPr>
      </w:pPr>
      <w:r w:rsidRPr="00A10CC0">
        <w:rPr>
          <w:lang w:val="en-GB"/>
        </w:rPr>
        <w:tab/>
      </w:r>
      <w:r w:rsidR="00217ABC" w:rsidRPr="000C73BB">
        <w:rPr>
          <w:lang w:val="en-GB"/>
        </w:rPr>
        <w:t xml:space="preserve">RAN4 to </w:t>
      </w:r>
      <w:r w:rsidR="00217ABC">
        <w:rPr>
          <w:lang w:val="en-GB"/>
        </w:rPr>
        <w:t xml:space="preserve">use the same applicability rule for UE/TRP </w:t>
      </w:r>
      <w:proofErr w:type="spellStart"/>
      <w:r w:rsidR="00217ABC">
        <w:rPr>
          <w:lang w:val="en-GB"/>
        </w:rPr>
        <w:t>RxTx</w:t>
      </w:r>
      <w:proofErr w:type="spellEnd"/>
      <w:r w:rsidR="00217ABC">
        <w:rPr>
          <w:lang w:val="en-GB"/>
        </w:rPr>
        <w:t xml:space="preserve"> TEG association information as for UE Rx TEG association information</w:t>
      </w:r>
      <w:r w:rsidR="0024765C" w:rsidRPr="0024765C">
        <w:rPr>
          <w:lang w:val="en-GB"/>
        </w:rPr>
        <w:t xml:space="preserve">.  </w:t>
      </w:r>
    </w:p>
    <w:p w14:paraId="3DAFBD41" w14:textId="77777777" w:rsidR="003B659E" w:rsidRPr="001433B1" w:rsidRDefault="003B659E" w:rsidP="0008612A">
      <w:pPr>
        <w:pStyle w:val="RAN4H1"/>
      </w:pPr>
      <w:r w:rsidRPr="001433B1">
        <w:t>References</w:t>
      </w:r>
    </w:p>
    <w:p w14:paraId="218EF3F7" w14:textId="77777777" w:rsidR="00A26008" w:rsidRDefault="00F341FB" w:rsidP="00F341FB">
      <w:pPr>
        <w:overflowPunct w:val="0"/>
        <w:autoSpaceDE w:val="0"/>
        <w:autoSpaceDN w:val="0"/>
        <w:adjustRightInd w:val="0"/>
        <w:spacing w:after="120" w:line="240" w:lineRule="auto"/>
        <w:ind w:left="426" w:hanging="426"/>
        <w:jc w:val="both"/>
        <w:textAlignment w:val="baseline"/>
        <w:rPr>
          <w:rFonts w:eastAsia="Times New Roman" w:cs="Times New Roman"/>
          <w:szCs w:val="20"/>
          <w:lang w:val="en-GB"/>
        </w:rPr>
      </w:pPr>
      <w:r w:rsidRPr="000C73BB">
        <w:rPr>
          <w:rFonts w:eastAsia="Times New Roman" w:cs="Times New Roman"/>
          <w:szCs w:val="20"/>
          <w:lang w:val="en-GB"/>
        </w:rPr>
        <w:t>[1]</w:t>
      </w:r>
      <w:r w:rsidRPr="000C73BB">
        <w:rPr>
          <w:rFonts w:eastAsia="Times New Roman" w:cs="Times New Roman"/>
          <w:szCs w:val="20"/>
          <w:lang w:val="en-GB"/>
        </w:rPr>
        <w:tab/>
        <w:t>RP-210903, “Revised WID on NR Positioning Enhancements”, CATT, Intel Corporation, Ericsson</w:t>
      </w:r>
    </w:p>
    <w:p w14:paraId="4ECD38EF" w14:textId="009C9291" w:rsidR="00F341FB" w:rsidRPr="000C73BB" w:rsidRDefault="00A26008" w:rsidP="00A26008">
      <w:pPr>
        <w:overflowPunct w:val="0"/>
        <w:autoSpaceDE w:val="0"/>
        <w:autoSpaceDN w:val="0"/>
        <w:adjustRightInd w:val="0"/>
        <w:spacing w:after="120" w:line="240" w:lineRule="auto"/>
        <w:ind w:left="426" w:hanging="426"/>
        <w:jc w:val="both"/>
        <w:textAlignment w:val="baseline"/>
        <w:rPr>
          <w:rFonts w:eastAsia="Times New Roman" w:cs="Times New Roman"/>
          <w:szCs w:val="20"/>
          <w:lang w:val="en-GB"/>
        </w:rPr>
      </w:pPr>
      <w:r w:rsidRPr="000C73BB">
        <w:rPr>
          <w:rFonts w:eastAsia="Times New Roman" w:cs="Times New Roman"/>
          <w:szCs w:val="20"/>
          <w:lang w:val="en-GB"/>
        </w:rPr>
        <w:t>[</w:t>
      </w:r>
      <w:r>
        <w:rPr>
          <w:rFonts w:eastAsia="Times New Roman" w:cs="Times New Roman"/>
          <w:szCs w:val="20"/>
          <w:lang w:val="en-GB"/>
        </w:rPr>
        <w:t>2</w:t>
      </w:r>
      <w:r w:rsidRPr="000C73BB">
        <w:rPr>
          <w:rFonts w:eastAsia="Times New Roman" w:cs="Times New Roman"/>
          <w:szCs w:val="20"/>
          <w:lang w:val="en-GB"/>
        </w:rPr>
        <w:t>]</w:t>
      </w:r>
      <w:r w:rsidRPr="000C73BB">
        <w:rPr>
          <w:rFonts w:eastAsia="Times New Roman" w:cs="Times New Roman"/>
          <w:szCs w:val="20"/>
          <w:lang w:val="en-GB"/>
        </w:rPr>
        <w:tab/>
        <w:t>R4-220</w:t>
      </w:r>
      <w:r>
        <w:rPr>
          <w:rFonts w:eastAsia="Times New Roman" w:cs="Times New Roman"/>
          <w:szCs w:val="20"/>
          <w:lang w:val="en-GB"/>
        </w:rPr>
        <w:t>7072</w:t>
      </w:r>
      <w:r w:rsidRPr="000C73BB">
        <w:rPr>
          <w:rFonts w:eastAsia="Times New Roman" w:cs="Times New Roman"/>
          <w:szCs w:val="20"/>
          <w:lang w:val="en-GB"/>
        </w:rPr>
        <w:t>, “Email discussion summary for [10</w:t>
      </w:r>
      <w:r>
        <w:rPr>
          <w:rFonts w:eastAsia="Times New Roman" w:cs="Times New Roman"/>
          <w:szCs w:val="20"/>
          <w:lang w:val="en-GB"/>
        </w:rPr>
        <w:t>2</w:t>
      </w:r>
      <w:r w:rsidRPr="000C73BB">
        <w:rPr>
          <w:rFonts w:eastAsia="Times New Roman" w:cs="Times New Roman"/>
          <w:szCs w:val="20"/>
          <w:lang w:val="en-GB"/>
        </w:rPr>
        <w:t>-e][223] NR_pos_enh_2”, Moderator (CATT)</w:t>
      </w:r>
      <w:r w:rsidR="00F341FB" w:rsidRPr="000C73BB">
        <w:rPr>
          <w:rFonts w:eastAsia="Times New Roman" w:cs="Times New Roman"/>
          <w:szCs w:val="20"/>
          <w:lang w:val="en-GB"/>
        </w:rPr>
        <w:t xml:space="preserve"> </w:t>
      </w:r>
    </w:p>
    <w:p w14:paraId="320DFBEC" w14:textId="127C0F09" w:rsidR="00F341FB" w:rsidRDefault="00F341FB" w:rsidP="00F341FB">
      <w:pPr>
        <w:overflowPunct w:val="0"/>
        <w:autoSpaceDE w:val="0"/>
        <w:autoSpaceDN w:val="0"/>
        <w:adjustRightInd w:val="0"/>
        <w:spacing w:after="120" w:line="240" w:lineRule="auto"/>
        <w:ind w:left="426" w:hanging="426"/>
        <w:jc w:val="both"/>
        <w:textAlignment w:val="baseline"/>
        <w:rPr>
          <w:rFonts w:eastAsia="Times New Roman" w:cs="Times New Roman"/>
          <w:szCs w:val="20"/>
          <w:lang w:val="en-GB"/>
        </w:rPr>
      </w:pPr>
      <w:r w:rsidRPr="000C73BB">
        <w:rPr>
          <w:rFonts w:eastAsia="Times New Roman" w:cs="Times New Roman"/>
          <w:szCs w:val="20"/>
          <w:lang w:val="en-GB"/>
        </w:rPr>
        <w:t>[</w:t>
      </w:r>
      <w:r w:rsidR="00A26008">
        <w:rPr>
          <w:rFonts w:eastAsia="Times New Roman" w:cs="Times New Roman"/>
          <w:szCs w:val="20"/>
          <w:lang w:val="en-GB"/>
        </w:rPr>
        <w:t>3</w:t>
      </w:r>
      <w:r w:rsidRPr="000C73BB">
        <w:rPr>
          <w:rFonts w:eastAsia="Times New Roman" w:cs="Times New Roman"/>
          <w:szCs w:val="20"/>
          <w:lang w:val="en-GB"/>
        </w:rPr>
        <w:t>]</w:t>
      </w:r>
      <w:r w:rsidRPr="000C73BB">
        <w:rPr>
          <w:rFonts w:eastAsia="Times New Roman" w:cs="Times New Roman"/>
          <w:szCs w:val="20"/>
          <w:lang w:val="en-GB"/>
        </w:rPr>
        <w:tab/>
        <w:t>R4-2</w:t>
      </w:r>
      <w:r w:rsidR="008461CA" w:rsidRPr="000C73BB">
        <w:rPr>
          <w:rFonts w:eastAsia="Times New Roman" w:cs="Times New Roman"/>
          <w:szCs w:val="20"/>
          <w:lang w:val="en-GB"/>
        </w:rPr>
        <w:t>20</w:t>
      </w:r>
      <w:r w:rsidR="00076F46">
        <w:rPr>
          <w:rFonts w:eastAsia="Times New Roman" w:cs="Times New Roman"/>
          <w:szCs w:val="20"/>
          <w:lang w:val="en-GB"/>
        </w:rPr>
        <w:t>6997</w:t>
      </w:r>
      <w:r w:rsidRPr="000C73BB">
        <w:rPr>
          <w:rFonts w:eastAsia="Times New Roman" w:cs="Times New Roman"/>
          <w:szCs w:val="20"/>
          <w:lang w:val="en-GB"/>
        </w:rPr>
        <w:t>, “WF on NR Positioning Enhancements (Part 2)”, CATT, RAN4#1</w:t>
      </w:r>
      <w:r w:rsidR="00076F46">
        <w:rPr>
          <w:rFonts w:eastAsia="Times New Roman" w:cs="Times New Roman"/>
          <w:szCs w:val="20"/>
          <w:lang w:val="en-GB"/>
        </w:rPr>
        <w:t>02</w:t>
      </w:r>
      <w:r w:rsidRPr="000C73BB">
        <w:rPr>
          <w:rFonts w:eastAsia="Times New Roman" w:cs="Times New Roman"/>
          <w:szCs w:val="20"/>
          <w:lang w:val="en-GB"/>
        </w:rPr>
        <w:t>-e</w:t>
      </w:r>
    </w:p>
    <w:p w14:paraId="2F6BAEDF" w14:textId="5C9DDE70" w:rsidR="005E559B" w:rsidRDefault="005E559B" w:rsidP="002448F8">
      <w:pPr>
        <w:overflowPunct w:val="0"/>
        <w:autoSpaceDE w:val="0"/>
        <w:autoSpaceDN w:val="0"/>
        <w:adjustRightInd w:val="0"/>
        <w:spacing w:after="120" w:line="240" w:lineRule="auto"/>
        <w:ind w:left="426" w:hanging="426"/>
        <w:jc w:val="both"/>
        <w:textAlignment w:val="baseline"/>
        <w:rPr>
          <w:rFonts w:eastAsia="Times New Roman" w:cs="Times New Roman"/>
          <w:szCs w:val="20"/>
          <w:lang w:val="en-GB"/>
        </w:rPr>
      </w:pPr>
      <w:r>
        <w:rPr>
          <w:rFonts w:eastAsia="Times New Roman" w:cs="Times New Roman"/>
          <w:szCs w:val="20"/>
          <w:lang w:val="en-GB"/>
        </w:rPr>
        <w:t>[4]</w:t>
      </w:r>
      <w:r>
        <w:rPr>
          <w:rFonts w:eastAsia="Times New Roman" w:cs="Times New Roman"/>
          <w:szCs w:val="20"/>
          <w:lang w:val="en-GB"/>
        </w:rPr>
        <w:tab/>
      </w:r>
      <w:r w:rsidRPr="005E559B">
        <w:rPr>
          <w:rFonts w:eastAsia="Times New Roman" w:cs="Times New Roman"/>
          <w:szCs w:val="20"/>
          <w:lang w:val="en-GB"/>
        </w:rPr>
        <w:t>R4-2206998</w:t>
      </w:r>
      <w:r>
        <w:rPr>
          <w:rFonts w:eastAsia="Times New Roman" w:cs="Times New Roman"/>
          <w:szCs w:val="20"/>
          <w:lang w:val="en-GB"/>
        </w:rPr>
        <w:t>, “</w:t>
      </w:r>
      <w:r w:rsidRPr="005E559B">
        <w:rPr>
          <w:rFonts w:eastAsia="Times New Roman" w:cs="Times New Roman"/>
          <w:szCs w:val="20"/>
          <w:lang w:val="en-GB"/>
        </w:rPr>
        <w:t>LS on the UE/TRP TEG framework</w:t>
      </w:r>
      <w:r>
        <w:rPr>
          <w:rFonts w:eastAsia="Times New Roman" w:cs="Times New Roman"/>
          <w:szCs w:val="20"/>
          <w:lang w:val="en-GB"/>
        </w:rPr>
        <w:t>”, RAN4</w:t>
      </w:r>
    </w:p>
    <w:p w14:paraId="2F6B4DFF" w14:textId="1AAB4B0E" w:rsidR="009C7F3D" w:rsidRDefault="009C7F3D" w:rsidP="009C7F3D">
      <w:pPr>
        <w:overflowPunct w:val="0"/>
        <w:autoSpaceDE w:val="0"/>
        <w:autoSpaceDN w:val="0"/>
        <w:adjustRightInd w:val="0"/>
        <w:spacing w:after="120" w:line="240" w:lineRule="auto"/>
        <w:ind w:left="426" w:hanging="426"/>
        <w:jc w:val="both"/>
        <w:textAlignment w:val="baseline"/>
        <w:rPr>
          <w:rFonts w:eastAsia="Times New Roman" w:cs="Times New Roman"/>
          <w:szCs w:val="20"/>
          <w:lang w:val="en-GB"/>
        </w:rPr>
      </w:pPr>
      <w:r>
        <w:rPr>
          <w:rFonts w:eastAsia="Times New Roman" w:cs="Times New Roman"/>
          <w:szCs w:val="20"/>
          <w:lang w:val="en-GB"/>
        </w:rPr>
        <w:t>[5]</w:t>
      </w:r>
      <w:r>
        <w:rPr>
          <w:rFonts w:eastAsia="Times New Roman" w:cs="Times New Roman"/>
          <w:szCs w:val="20"/>
          <w:lang w:val="en-GB"/>
        </w:rPr>
        <w:tab/>
      </w:r>
      <w:r w:rsidRPr="009C7F3D">
        <w:rPr>
          <w:rFonts w:eastAsia="Times New Roman" w:cs="Times New Roman"/>
          <w:szCs w:val="20"/>
          <w:lang w:val="en-GB"/>
        </w:rPr>
        <w:t>R2-2203597</w:t>
      </w:r>
      <w:r>
        <w:rPr>
          <w:rFonts w:eastAsia="Times New Roman" w:cs="Times New Roman"/>
          <w:szCs w:val="20"/>
          <w:lang w:val="en-GB"/>
        </w:rPr>
        <w:t>, “</w:t>
      </w:r>
      <w:r w:rsidRPr="009C7F3D">
        <w:rPr>
          <w:rFonts w:eastAsia="Times New Roman" w:cs="Times New Roman"/>
          <w:szCs w:val="20"/>
          <w:lang w:val="en-GB"/>
        </w:rPr>
        <w:t>LS to RAN1 on positioning issues needing further input</w:t>
      </w:r>
      <w:r>
        <w:rPr>
          <w:rFonts w:eastAsia="Times New Roman" w:cs="Times New Roman"/>
          <w:szCs w:val="20"/>
          <w:lang w:val="en-GB"/>
        </w:rPr>
        <w:t>”, RAN2</w:t>
      </w:r>
    </w:p>
    <w:p w14:paraId="386B0545" w14:textId="46482BA3" w:rsidR="00217ABC" w:rsidRPr="00217ABC" w:rsidRDefault="00217ABC" w:rsidP="009C7F3D">
      <w:pPr>
        <w:overflowPunct w:val="0"/>
        <w:autoSpaceDE w:val="0"/>
        <w:autoSpaceDN w:val="0"/>
        <w:adjustRightInd w:val="0"/>
        <w:spacing w:after="120" w:line="240" w:lineRule="auto"/>
        <w:ind w:left="426" w:hanging="426"/>
        <w:jc w:val="both"/>
        <w:textAlignment w:val="baseline"/>
        <w:rPr>
          <w:rFonts w:eastAsia="Times New Roman" w:cs="Times New Roman"/>
          <w:szCs w:val="20"/>
          <w:lang w:val="en-GB"/>
        </w:rPr>
      </w:pPr>
      <w:r w:rsidRPr="00217ABC">
        <w:rPr>
          <w:rFonts w:eastAsia="Times New Roman" w:cs="Times New Roman"/>
          <w:szCs w:val="20"/>
          <w:lang w:val="en-GB"/>
        </w:rPr>
        <w:t>[6]</w:t>
      </w:r>
      <w:r w:rsidRPr="00217ABC">
        <w:rPr>
          <w:rFonts w:eastAsia="Times New Roman" w:cs="Times New Roman"/>
          <w:szCs w:val="20"/>
          <w:lang w:val="en-GB"/>
        </w:rPr>
        <w:tab/>
        <w:t>R1-2202849,”</w:t>
      </w:r>
      <w:r w:rsidRPr="00217ABC">
        <w:rPr>
          <w:rFonts w:cs="Times New Roman"/>
          <w:bCs/>
          <w:color w:val="000000"/>
          <w:szCs w:val="20"/>
          <w:lang w:val="en-GB"/>
        </w:rPr>
        <w:t xml:space="preserve"> Reply LS on positioning issues needing further input”, RAN1</w:t>
      </w:r>
    </w:p>
    <w:sectPr w:rsidR="00217ABC" w:rsidRPr="00217ABC" w:rsidSect="00806A76">
      <w:footerReference w:type="default" r:id="rId13"/>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A8283C" w14:textId="77777777" w:rsidR="008F2942" w:rsidRDefault="008F2942" w:rsidP="00001C9B">
      <w:pPr>
        <w:spacing w:after="0" w:line="240" w:lineRule="auto"/>
      </w:pPr>
      <w:r>
        <w:separator/>
      </w:r>
    </w:p>
  </w:endnote>
  <w:endnote w:type="continuationSeparator" w:id="0">
    <w:p w14:paraId="3CD0B876" w14:textId="77777777" w:rsidR="008F2942" w:rsidRDefault="008F2942" w:rsidP="00001C9B">
      <w:pPr>
        <w:spacing w:after="0" w:line="240" w:lineRule="auto"/>
      </w:pPr>
      <w:r>
        <w:continuationSeparator/>
      </w:r>
    </w:p>
  </w:endnote>
  <w:endnote w:type="continuationNotice" w:id="1">
    <w:p w14:paraId="1EFF3C38" w14:textId="77777777" w:rsidR="008F2942" w:rsidRDefault="008F29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Segoe U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86332102"/>
      <w:docPartObj>
        <w:docPartGallery w:val="Page Numbers (Bottom of Page)"/>
        <w:docPartUnique/>
      </w:docPartObj>
    </w:sdtPr>
    <w:sdtEndPr>
      <w:rPr>
        <w:noProof/>
        <w:color w:val="000000" w:themeColor="text1"/>
      </w:rPr>
    </w:sdtEndPr>
    <w:sdtContent>
      <w:p w14:paraId="1AC9527B" w14:textId="70B29CE5" w:rsidR="008F2942" w:rsidRPr="00290B03" w:rsidRDefault="008F2942">
        <w:pPr>
          <w:pStyle w:val="Footer"/>
          <w:jc w:val="center"/>
          <w:rPr>
            <w:color w:val="000000" w:themeColor="text1"/>
          </w:rPr>
        </w:pPr>
        <w:r w:rsidRPr="00290B03">
          <w:rPr>
            <w:color w:val="000000" w:themeColor="text1"/>
            <w:shd w:val="clear" w:color="auto" w:fill="E6E6E6"/>
          </w:rPr>
          <w:fldChar w:fldCharType="begin"/>
        </w:r>
        <w:r w:rsidRPr="00290B03">
          <w:rPr>
            <w:color w:val="000000" w:themeColor="text1"/>
          </w:rPr>
          <w:instrText xml:space="preserve"> PAGE   \* MERGEFORMAT </w:instrText>
        </w:r>
        <w:r w:rsidRPr="00290B03">
          <w:rPr>
            <w:color w:val="000000" w:themeColor="text1"/>
            <w:shd w:val="clear" w:color="auto" w:fill="E6E6E6"/>
          </w:rPr>
          <w:fldChar w:fldCharType="separate"/>
        </w:r>
        <w:r w:rsidRPr="00290B03">
          <w:rPr>
            <w:noProof/>
            <w:color w:val="000000" w:themeColor="text1"/>
          </w:rPr>
          <w:t>2</w:t>
        </w:r>
        <w:r w:rsidRPr="00290B03">
          <w:rPr>
            <w:noProof/>
            <w:color w:val="000000" w:themeColor="text1"/>
            <w:shd w:val="clear" w:color="auto" w:fill="E6E6E6"/>
          </w:rPr>
          <w:fldChar w:fldCharType="end"/>
        </w:r>
      </w:p>
    </w:sdtContent>
  </w:sdt>
  <w:p w14:paraId="1CDD5AD7" w14:textId="77777777" w:rsidR="008F2942" w:rsidRDefault="008F29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606AE4" w14:textId="77777777" w:rsidR="008F2942" w:rsidRDefault="008F2942" w:rsidP="00001C9B">
      <w:pPr>
        <w:spacing w:after="0" w:line="240" w:lineRule="auto"/>
      </w:pPr>
      <w:r>
        <w:separator/>
      </w:r>
    </w:p>
  </w:footnote>
  <w:footnote w:type="continuationSeparator" w:id="0">
    <w:p w14:paraId="6EF674BE" w14:textId="77777777" w:rsidR="008F2942" w:rsidRDefault="008F2942" w:rsidP="00001C9B">
      <w:pPr>
        <w:spacing w:after="0" w:line="240" w:lineRule="auto"/>
      </w:pPr>
      <w:r>
        <w:continuationSeparator/>
      </w:r>
    </w:p>
  </w:footnote>
  <w:footnote w:type="continuationNotice" w:id="1">
    <w:p w14:paraId="3CC0B42B" w14:textId="77777777" w:rsidR="008F2942" w:rsidRDefault="008F294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00041"/>
    <w:multiLevelType w:val="hybridMultilevel"/>
    <w:tmpl w:val="E38C1ACC"/>
    <w:lvl w:ilvl="0" w:tplc="851849EC">
      <w:numFmt w:val="bullet"/>
      <w:lvlText w:val="•"/>
      <w:lvlJc w:val="left"/>
      <w:pPr>
        <w:ind w:left="766" w:hanging="360"/>
      </w:pPr>
      <w:rPr>
        <w:rFonts w:ascii="Times New Roman" w:eastAsiaTheme="minorHAnsi" w:hAnsi="Times New Roman" w:cs="Times New Roman"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1" w15:restartNumberingAfterBreak="0">
    <w:nsid w:val="042F2467"/>
    <w:multiLevelType w:val="hybridMultilevel"/>
    <w:tmpl w:val="F9CEFBCE"/>
    <w:lvl w:ilvl="0" w:tplc="50CAC5FC">
      <w:start w:val="1"/>
      <w:numFmt w:val="bullet"/>
      <w:lvlText w:val=""/>
      <w:lvlJc w:val="left"/>
      <w:pPr>
        <w:ind w:left="720" w:hanging="360"/>
      </w:pPr>
      <w:rPr>
        <w:rFonts w:ascii="Symbol" w:hAnsi="Symbol" w:hint="default"/>
        <w:color w:val="000000" w:themeColor="text1"/>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2A1971"/>
    <w:multiLevelType w:val="hybridMultilevel"/>
    <w:tmpl w:val="8452A934"/>
    <w:lvl w:ilvl="0" w:tplc="C046F83A">
      <w:start w:val="1"/>
      <w:numFmt w:val="bullet"/>
      <w:lvlText w:val=""/>
      <w:lvlJc w:val="left"/>
      <w:pPr>
        <w:ind w:left="1854" w:hanging="360"/>
      </w:pPr>
      <w:rPr>
        <w:rFonts w:ascii="Symbol" w:hAnsi="Symbol" w:hint="default"/>
        <w:color w:val="000000" w:themeColor="text1"/>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0A952FEC"/>
    <w:multiLevelType w:val="hybridMultilevel"/>
    <w:tmpl w:val="52B2C5AA"/>
    <w:lvl w:ilvl="0" w:tplc="851849EC">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1A7304"/>
    <w:multiLevelType w:val="hybridMultilevel"/>
    <w:tmpl w:val="57E66AD0"/>
    <w:lvl w:ilvl="0" w:tplc="2FF42842">
      <w:start w:val="1"/>
      <w:numFmt w:val="bullet"/>
      <w:lvlText w:val=""/>
      <w:lvlJc w:val="left"/>
      <w:pPr>
        <w:ind w:left="644" w:hanging="360"/>
      </w:pPr>
      <w:rPr>
        <w:rFonts w:ascii="Wingdings" w:hAnsi="Wingding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5E704F4"/>
    <w:multiLevelType w:val="hybridMultilevel"/>
    <w:tmpl w:val="6B003DB2"/>
    <w:lvl w:ilvl="0" w:tplc="851849EC">
      <w:numFmt w:val="bullet"/>
      <w:lvlText w:val="•"/>
      <w:lvlJc w:val="left"/>
      <w:pPr>
        <w:ind w:left="363" w:hanging="360"/>
      </w:pPr>
      <w:rPr>
        <w:rFonts w:ascii="Times New Roman" w:eastAsiaTheme="minorHAnsi"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7" w15:restartNumberingAfterBreak="0">
    <w:nsid w:val="23B17E46"/>
    <w:multiLevelType w:val="hybridMultilevel"/>
    <w:tmpl w:val="13BEB880"/>
    <w:lvl w:ilvl="0" w:tplc="2FF42842">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4C84183"/>
    <w:multiLevelType w:val="multilevel"/>
    <w:tmpl w:val="24C841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681663B"/>
    <w:multiLevelType w:val="hybridMultilevel"/>
    <w:tmpl w:val="FC32D5C6"/>
    <w:lvl w:ilvl="0" w:tplc="9E76A972">
      <w:numFmt w:val="bullet"/>
      <w:lvlText w:val="-"/>
      <w:lvlJc w:val="left"/>
      <w:pPr>
        <w:ind w:left="1494" w:hanging="360"/>
      </w:pPr>
      <w:rPr>
        <w:rFonts w:ascii="Times New Roman" w:eastAsiaTheme="minorHAnsi" w:hAnsi="Times New Roman" w:cs="Times New Roman" w:hint="default"/>
      </w:rPr>
    </w:lvl>
    <w:lvl w:ilvl="1" w:tplc="08090003">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0" w15:restartNumberingAfterBreak="0">
    <w:nsid w:val="27883D31"/>
    <w:multiLevelType w:val="hybridMultilevel"/>
    <w:tmpl w:val="75E8DD3C"/>
    <w:lvl w:ilvl="0" w:tplc="851849EC">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244616"/>
    <w:multiLevelType w:val="multilevel"/>
    <w:tmpl w:val="EEA004C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D407773"/>
    <w:multiLevelType w:val="hybridMultilevel"/>
    <w:tmpl w:val="B1DCBF6C"/>
    <w:lvl w:ilvl="0" w:tplc="1F406254">
      <w:start w:val="1"/>
      <w:numFmt w:val="bullet"/>
      <w:lvlText w:val="•"/>
      <w:lvlJc w:val="left"/>
      <w:pPr>
        <w:tabs>
          <w:tab w:val="num" w:pos="720"/>
        </w:tabs>
        <w:ind w:left="720" w:hanging="360"/>
      </w:pPr>
      <w:rPr>
        <w:rFonts w:ascii="Arial" w:hAnsi="Arial" w:hint="default"/>
      </w:rPr>
    </w:lvl>
    <w:lvl w:ilvl="1" w:tplc="C25A742A">
      <w:numFmt w:val="bullet"/>
      <w:lvlText w:val="-"/>
      <w:lvlJc w:val="left"/>
      <w:pPr>
        <w:tabs>
          <w:tab w:val="num" w:pos="1440"/>
        </w:tabs>
        <w:ind w:left="1440" w:hanging="360"/>
      </w:pPr>
      <w:rPr>
        <w:rFonts w:ascii="Lucida Grande" w:hAnsi="Lucida Grande" w:hint="default"/>
      </w:rPr>
    </w:lvl>
    <w:lvl w:ilvl="2" w:tplc="04E647BC">
      <w:numFmt w:val="bullet"/>
      <w:lvlText w:val="•"/>
      <w:lvlJc w:val="left"/>
      <w:pPr>
        <w:tabs>
          <w:tab w:val="num" w:pos="2160"/>
        </w:tabs>
        <w:ind w:left="2160" w:hanging="360"/>
      </w:pPr>
      <w:rPr>
        <w:rFonts w:ascii="Arial" w:hAnsi="Arial" w:hint="default"/>
      </w:rPr>
    </w:lvl>
    <w:lvl w:ilvl="3" w:tplc="88440D86">
      <w:start w:val="1"/>
      <w:numFmt w:val="bullet"/>
      <w:lvlText w:val="•"/>
      <w:lvlJc w:val="left"/>
      <w:pPr>
        <w:tabs>
          <w:tab w:val="num" w:pos="2880"/>
        </w:tabs>
        <w:ind w:left="2880" w:hanging="360"/>
      </w:pPr>
      <w:rPr>
        <w:rFonts w:ascii="Arial" w:hAnsi="Arial" w:hint="default"/>
      </w:rPr>
    </w:lvl>
    <w:lvl w:ilvl="4" w:tplc="32FC413A" w:tentative="1">
      <w:start w:val="1"/>
      <w:numFmt w:val="bullet"/>
      <w:lvlText w:val="•"/>
      <w:lvlJc w:val="left"/>
      <w:pPr>
        <w:tabs>
          <w:tab w:val="num" w:pos="3600"/>
        </w:tabs>
        <w:ind w:left="3600" w:hanging="360"/>
      </w:pPr>
      <w:rPr>
        <w:rFonts w:ascii="Arial" w:hAnsi="Arial" w:hint="default"/>
      </w:rPr>
    </w:lvl>
    <w:lvl w:ilvl="5" w:tplc="BC745F40" w:tentative="1">
      <w:start w:val="1"/>
      <w:numFmt w:val="bullet"/>
      <w:lvlText w:val="•"/>
      <w:lvlJc w:val="left"/>
      <w:pPr>
        <w:tabs>
          <w:tab w:val="num" w:pos="4320"/>
        </w:tabs>
        <w:ind w:left="4320" w:hanging="360"/>
      </w:pPr>
      <w:rPr>
        <w:rFonts w:ascii="Arial" w:hAnsi="Arial" w:hint="default"/>
      </w:rPr>
    </w:lvl>
    <w:lvl w:ilvl="6" w:tplc="8BD61B7E" w:tentative="1">
      <w:start w:val="1"/>
      <w:numFmt w:val="bullet"/>
      <w:lvlText w:val="•"/>
      <w:lvlJc w:val="left"/>
      <w:pPr>
        <w:tabs>
          <w:tab w:val="num" w:pos="5040"/>
        </w:tabs>
        <w:ind w:left="5040" w:hanging="360"/>
      </w:pPr>
      <w:rPr>
        <w:rFonts w:ascii="Arial" w:hAnsi="Arial" w:hint="default"/>
      </w:rPr>
    </w:lvl>
    <w:lvl w:ilvl="7" w:tplc="1EE6BF40" w:tentative="1">
      <w:start w:val="1"/>
      <w:numFmt w:val="bullet"/>
      <w:lvlText w:val="•"/>
      <w:lvlJc w:val="left"/>
      <w:pPr>
        <w:tabs>
          <w:tab w:val="num" w:pos="5760"/>
        </w:tabs>
        <w:ind w:left="5760" w:hanging="360"/>
      </w:pPr>
      <w:rPr>
        <w:rFonts w:ascii="Arial" w:hAnsi="Arial" w:hint="default"/>
      </w:rPr>
    </w:lvl>
    <w:lvl w:ilvl="8" w:tplc="7E9470C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0A404CD"/>
    <w:multiLevelType w:val="hybridMultilevel"/>
    <w:tmpl w:val="43CA23CA"/>
    <w:lvl w:ilvl="0" w:tplc="C046F83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6FB52F3"/>
    <w:multiLevelType w:val="hybridMultilevel"/>
    <w:tmpl w:val="EE9A3A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4E2F04"/>
    <w:multiLevelType w:val="hybridMultilevel"/>
    <w:tmpl w:val="DEFABF58"/>
    <w:lvl w:ilvl="0" w:tplc="3CF84A56">
      <w:start w:val="1"/>
      <w:numFmt w:val="bullet"/>
      <w:lvlText w:val=""/>
      <w:lvlJc w:val="left"/>
      <w:pPr>
        <w:tabs>
          <w:tab w:val="num" w:pos="720"/>
        </w:tabs>
        <w:ind w:left="720" w:hanging="360"/>
      </w:pPr>
      <w:rPr>
        <w:rFonts w:ascii="Wingdings" w:hAnsi="Wingdings" w:hint="default"/>
      </w:rPr>
    </w:lvl>
    <w:lvl w:ilvl="1" w:tplc="4B74144A" w:tentative="1">
      <w:start w:val="1"/>
      <w:numFmt w:val="bullet"/>
      <w:lvlText w:val=""/>
      <w:lvlJc w:val="left"/>
      <w:pPr>
        <w:tabs>
          <w:tab w:val="num" w:pos="1440"/>
        </w:tabs>
        <w:ind w:left="1440" w:hanging="360"/>
      </w:pPr>
      <w:rPr>
        <w:rFonts w:ascii="Wingdings" w:hAnsi="Wingdings" w:hint="default"/>
      </w:rPr>
    </w:lvl>
    <w:lvl w:ilvl="2" w:tplc="D4C2D592">
      <w:start w:val="1"/>
      <w:numFmt w:val="bullet"/>
      <w:lvlText w:val=""/>
      <w:lvlJc w:val="left"/>
      <w:pPr>
        <w:tabs>
          <w:tab w:val="num" w:pos="2160"/>
        </w:tabs>
        <w:ind w:left="2160" w:hanging="360"/>
      </w:pPr>
      <w:rPr>
        <w:rFonts w:ascii="Wingdings" w:hAnsi="Wingdings" w:hint="default"/>
      </w:rPr>
    </w:lvl>
    <w:lvl w:ilvl="3" w:tplc="D9B2282E" w:tentative="1">
      <w:start w:val="1"/>
      <w:numFmt w:val="bullet"/>
      <w:lvlText w:val=""/>
      <w:lvlJc w:val="left"/>
      <w:pPr>
        <w:tabs>
          <w:tab w:val="num" w:pos="2880"/>
        </w:tabs>
        <w:ind w:left="2880" w:hanging="360"/>
      </w:pPr>
      <w:rPr>
        <w:rFonts w:ascii="Wingdings" w:hAnsi="Wingdings" w:hint="default"/>
      </w:rPr>
    </w:lvl>
    <w:lvl w:ilvl="4" w:tplc="F5B83576" w:tentative="1">
      <w:start w:val="1"/>
      <w:numFmt w:val="bullet"/>
      <w:lvlText w:val=""/>
      <w:lvlJc w:val="left"/>
      <w:pPr>
        <w:tabs>
          <w:tab w:val="num" w:pos="3600"/>
        </w:tabs>
        <w:ind w:left="3600" w:hanging="360"/>
      </w:pPr>
      <w:rPr>
        <w:rFonts w:ascii="Wingdings" w:hAnsi="Wingdings" w:hint="default"/>
      </w:rPr>
    </w:lvl>
    <w:lvl w:ilvl="5" w:tplc="471A276A" w:tentative="1">
      <w:start w:val="1"/>
      <w:numFmt w:val="bullet"/>
      <w:lvlText w:val=""/>
      <w:lvlJc w:val="left"/>
      <w:pPr>
        <w:tabs>
          <w:tab w:val="num" w:pos="4320"/>
        </w:tabs>
        <w:ind w:left="4320" w:hanging="360"/>
      </w:pPr>
      <w:rPr>
        <w:rFonts w:ascii="Wingdings" w:hAnsi="Wingdings" w:hint="default"/>
      </w:rPr>
    </w:lvl>
    <w:lvl w:ilvl="6" w:tplc="5386B9F2" w:tentative="1">
      <w:start w:val="1"/>
      <w:numFmt w:val="bullet"/>
      <w:lvlText w:val=""/>
      <w:lvlJc w:val="left"/>
      <w:pPr>
        <w:tabs>
          <w:tab w:val="num" w:pos="5040"/>
        </w:tabs>
        <w:ind w:left="5040" w:hanging="360"/>
      </w:pPr>
      <w:rPr>
        <w:rFonts w:ascii="Wingdings" w:hAnsi="Wingdings" w:hint="default"/>
      </w:rPr>
    </w:lvl>
    <w:lvl w:ilvl="7" w:tplc="F30E048A" w:tentative="1">
      <w:start w:val="1"/>
      <w:numFmt w:val="bullet"/>
      <w:lvlText w:val=""/>
      <w:lvlJc w:val="left"/>
      <w:pPr>
        <w:tabs>
          <w:tab w:val="num" w:pos="5760"/>
        </w:tabs>
        <w:ind w:left="5760" w:hanging="360"/>
      </w:pPr>
      <w:rPr>
        <w:rFonts w:ascii="Wingdings" w:hAnsi="Wingdings" w:hint="default"/>
      </w:rPr>
    </w:lvl>
    <w:lvl w:ilvl="8" w:tplc="A0208FF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D503E05"/>
    <w:multiLevelType w:val="hybridMultilevel"/>
    <w:tmpl w:val="0224681C"/>
    <w:lvl w:ilvl="0" w:tplc="C046F83A">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54C54638"/>
    <w:multiLevelType w:val="hybridMultilevel"/>
    <w:tmpl w:val="4E068FBA"/>
    <w:lvl w:ilvl="0" w:tplc="C046F83A">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4D007F9"/>
    <w:multiLevelType w:val="hybridMultilevel"/>
    <w:tmpl w:val="03367274"/>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A77507E"/>
    <w:multiLevelType w:val="multilevel"/>
    <w:tmpl w:val="8FEE4AA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1709"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7267C66"/>
    <w:multiLevelType w:val="multilevel"/>
    <w:tmpl w:val="67267C66"/>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8" w15:restartNumberingAfterBreak="0">
    <w:nsid w:val="68DB7098"/>
    <w:multiLevelType w:val="hybridMultilevel"/>
    <w:tmpl w:val="6D0A995C"/>
    <w:lvl w:ilvl="0" w:tplc="C046F83A">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CDE4BC1"/>
    <w:multiLevelType w:val="hybridMultilevel"/>
    <w:tmpl w:val="141A9342"/>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81155B"/>
    <w:multiLevelType w:val="multilevel"/>
    <w:tmpl w:val="D462579A"/>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Wingdings" w:hAnsi="Wingdings"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33" w15:restartNumberingAfterBreak="0">
    <w:nsid w:val="7AA029C7"/>
    <w:multiLevelType w:val="hybridMultilevel"/>
    <w:tmpl w:val="FACAE38A"/>
    <w:lvl w:ilvl="0" w:tplc="C046F83A">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AAF5C15"/>
    <w:multiLevelType w:val="hybridMultilevel"/>
    <w:tmpl w:val="CF5C8F8E"/>
    <w:lvl w:ilvl="0" w:tplc="C046F83A">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20"/>
  </w:num>
  <w:num w:numId="3">
    <w:abstractNumId w:val="15"/>
  </w:num>
  <w:num w:numId="4">
    <w:abstractNumId w:val="19"/>
  </w:num>
  <w:num w:numId="5">
    <w:abstractNumId w:val="26"/>
  </w:num>
  <w:num w:numId="6">
    <w:abstractNumId w:val="13"/>
  </w:num>
  <w:num w:numId="7">
    <w:abstractNumId w:val="1"/>
  </w:num>
  <w:num w:numId="8">
    <w:abstractNumId w:val="28"/>
  </w:num>
  <w:num w:numId="9">
    <w:abstractNumId w:val="9"/>
  </w:num>
  <w:num w:numId="10">
    <w:abstractNumId w:val="22"/>
  </w:num>
  <w:num w:numId="11">
    <w:abstractNumId w:val="33"/>
  </w:num>
  <w:num w:numId="12">
    <w:abstractNumId w:val="3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6"/>
  </w:num>
  <w:num w:numId="15">
    <w:abstractNumId w:val="31"/>
  </w:num>
  <w:num w:numId="16">
    <w:abstractNumId w:val="30"/>
  </w:num>
  <w:num w:numId="17">
    <w:abstractNumId w:val="11"/>
  </w:num>
  <w:num w:numId="18">
    <w:abstractNumId w:val="25"/>
  </w:num>
  <w:num w:numId="19">
    <w:abstractNumId w:val="34"/>
  </w:num>
  <w:num w:numId="20">
    <w:abstractNumId w:val="18"/>
  </w:num>
  <w:num w:numId="21">
    <w:abstractNumId w:val="32"/>
  </w:num>
  <w:num w:numId="22">
    <w:abstractNumId w:val="8"/>
  </w:num>
  <w:num w:numId="23">
    <w:abstractNumId w:val="14"/>
  </w:num>
  <w:num w:numId="24">
    <w:abstractNumId w:val="5"/>
  </w:num>
  <w:num w:numId="25">
    <w:abstractNumId w:val="3"/>
  </w:num>
  <w:num w:numId="26">
    <w:abstractNumId w:val="19"/>
    <w:lvlOverride w:ilvl="0">
      <w:startOverride w:val="1"/>
    </w:lvlOverride>
  </w:num>
  <w:num w:numId="27">
    <w:abstractNumId w:val="15"/>
    <w:lvlOverride w:ilvl="0">
      <w:startOverride w:val="1"/>
    </w:lvlOverride>
  </w:num>
  <w:num w:numId="28">
    <w:abstractNumId w:val="15"/>
    <w:lvlOverride w:ilvl="0">
      <w:startOverride w:val="1"/>
    </w:lvlOverride>
  </w:num>
  <w:num w:numId="29">
    <w:abstractNumId w:val="7"/>
  </w:num>
  <w:num w:numId="30">
    <w:abstractNumId w:val="27"/>
  </w:num>
  <w:num w:numId="31">
    <w:abstractNumId w:val="24"/>
  </w:num>
  <w:num w:numId="32">
    <w:abstractNumId w:val="17"/>
  </w:num>
  <w:num w:numId="33">
    <w:abstractNumId w:val="6"/>
  </w:num>
  <w:num w:numId="34">
    <w:abstractNumId w:val="10"/>
  </w:num>
  <w:num w:numId="35">
    <w:abstractNumId w:val="21"/>
  </w:num>
  <w:num w:numId="36">
    <w:abstractNumId w:val="4"/>
  </w:num>
  <w:num w:numId="37">
    <w:abstractNumId w:val="0"/>
  </w:num>
  <w:num w:numId="38">
    <w:abstractNumId w:val="29"/>
  </w:num>
  <w:num w:numId="39">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376E"/>
    <w:rsid w:val="00004FA6"/>
    <w:rsid w:val="00010467"/>
    <w:rsid w:val="000132EC"/>
    <w:rsid w:val="00015F39"/>
    <w:rsid w:val="00020CFD"/>
    <w:rsid w:val="0002711C"/>
    <w:rsid w:val="0002752B"/>
    <w:rsid w:val="000449C8"/>
    <w:rsid w:val="000462F5"/>
    <w:rsid w:val="000625C8"/>
    <w:rsid w:val="00066DCA"/>
    <w:rsid w:val="000719BB"/>
    <w:rsid w:val="0007543F"/>
    <w:rsid w:val="00076F46"/>
    <w:rsid w:val="000801BA"/>
    <w:rsid w:val="00080766"/>
    <w:rsid w:val="00080CFA"/>
    <w:rsid w:val="0008612A"/>
    <w:rsid w:val="000869D7"/>
    <w:rsid w:val="00087DD9"/>
    <w:rsid w:val="00091555"/>
    <w:rsid w:val="000962E1"/>
    <w:rsid w:val="000A576C"/>
    <w:rsid w:val="000B0056"/>
    <w:rsid w:val="000B17AB"/>
    <w:rsid w:val="000C4BF9"/>
    <w:rsid w:val="000C73BB"/>
    <w:rsid w:val="000D551A"/>
    <w:rsid w:val="000D5F4A"/>
    <w:rsid w:val="000E0F2E"/>
    <w:rsid w:val="000E2631"/>
    <w:rsid w:val="000F2C27"/>
    <w:rsid w:val="000F7AED"/>
    <w:rsid w:val="00100B68"/>
    <w:rsid w:val="00100DCC"/>
    <w:rsid w:val="0010106D"/>
    <w:rsid w:val="001065ED"/>
    <w:rsid w:val="0010671C"/>
    <w:rsid w:val="001127C7"/>
    <w:rsid w:val="00113628"/>
    <w:rsid w:val="0011692A"/>
    <w:rsid w:val="00117FDE"/>
    <w:rsid w:val="001202F2"/>
    <w:rsid w:val="001232AB"/>
    <w:rsid w:val="0012482E"/>
    <w:rsid w:val="00126456"/>
    <w:rsid w:val="00131463"/>
    <w:rsid w:val="00131E0D"/>
    <w:rsid w:val="00134990"/>
    <w:rsid w:val="00136125"/>
    <w:rsid w:val="00136D9E"/>
    <w:rsid w:val="00141D43"/>
    <w:rsid w:val="001433B1"/>
    <w:rsid w:val="00145AD4"/>
    <w:rsid w:val="00147726"/>
    <w:rsid w:val="00147D66"/>
    <w:rsid w:val="00147DA4"/>
    <w:rsid w:val="0015298F"/>
    <w:rsid w:val="00153197"/>
    <w:rsid w:val="00153B6F"/>
    <w:rsid w:val="00154432"/>
    <w:rsid w:val="00160805"/>
    <w:rsid w:val="00164E1D"/>
    <w:rsid w:val="0016794A"/>
    <w:rsid w:val="001741BC"/>
    <w:rsid w:val="001745F8"/>
    <w:rsid w:val="00175AAD"/>
    <w:rsid w:val="00176671"/>
    <w:rsid w:val="00176A4A"/>
    <w:rsid w:val="001838CF"/>
    <w:rsid w:val="00186579"/>
    <w:rsid w:val="001977EE"/>
    <w:rsid w:val="001A64CB"/>
    <w:rsid w:val="001A7AE3"/>
    <w:rsid w:val="001B1838"/>
    <w:rsid w:val="001B313E"/>
    <w:rsid w:val="001B7B89"/>
    <w:rsid w:val="001C2F6D"/>
    <w:rsid w:val="001C48A4"/>
    <w:rsid w:val="001D6D80"/>
    <w:rsid w:val="001E30F6"/>
    <w:rsid w:val="001F455D"/>
    <w:rsid w:val="002002F1"/>
    <w:rsid w:val="00202C59"/>
    <w:rsid w:val="002079FF"/>
    <w:rsid w:val="00211FD3"/>
    <w:rsid w:val="00217328"/>
    <w:rsid w:val="00217ABC"/>
    <w:rsid w:val="00222989"/>
    <w:rsid w:val="0023096A"/>
    <w:rsid w:val="0023156D"/>
    <w:rsid w:val="002327C9"/>
    <w:rsid w:val="0023280F"/>
    <w:rsid w:val="002358FE"/>
    <w:rsid w:val="00235F5C"/>
    <w:rsid w:val="0024397F"/>
    <w:rsid w:val="00243A54"/>
    <w:rsid w:val="00243A6E"/>
    <w:rsid w:val="002448F8"/>
    <w:rsid w:val="0024587C"/>
    <w:rsid w:val="00246269"/>
    <w:rsid w:val="0024765C"/>
    <w:rsid w:val="00250EE3"/>
    <w:rsid w:val="0025642A"/>
    <w:rsid w:val="00257A8D"/>
    <w:rsid w:val="00260784"/>
    <w:rsid w:val="00262358"/>
    <w:rsid w:val="0026235C"/>
    <w:rsid w:val="00274C13"/>
    <w:rsid w:val="00276837"/>
    <w:rsid w:val="00281503"/>
    <w:rsid w:val="0028308B"/>
    <w:rsid w:val="002832C8"/>
    <w:rsid w:val="00285330"/>
    <w:rsid w:val="00285B38"/>
    <w:rsid w:val="00285EF4"/>
    <w:rsid w:val="002903A6"/>
    <w:rsid w:val="00290B03"/>
    <w:rsid w:val="00290DCF"/>
    <w:rsid w:val="00295951"/>
    <w:rsid w:val="00295EAF"/>
    <w:rsid w:val="002978D8"/>
    <w:rsid w:val="002A2459"/>
    <w:rsid w:val="002A2A1A"/>
    <w:rsid w:val="002A7009"/>
    <w:rsid w:val="002B05E4"/>
    <w:rsid w:val="002B081A"/>
    <w:rsid w:val="002B0CED"/>
    <w:rsid w:val="002B26E7"/>
    <w:rsid w:val="002B30C2"/>
    <w:rsid w:val="002B4922"/>
    <w:rsid w:val="002B5C89"/>
    <w:rsid w:val="002B72CA"/>
    <w:rsid w:val="002C02AD"/>
    <w:rsid w:val="002C2D19"/>
    <w:rsid w:val="002C4CAB"/>
    <w:rsid w:val="002D10FA"/>
    <w:rsid w:val="002D4C55"/>
    <w:rsid w:val="002E2BE5"/>
    <w:rsid w:val="002E7675"/>
    <w:rsid w:val="002F1F4D"/>
    <w:rsid w:val="002F5BFC"/>
    <w:rsid w:val="002F5D52"/>
    <w:rsid w:val="00305CDD"/>
    <w:rsid w:val="00306811"/>
    <w:rsid w:val="00312841"/>
    <w:rsid w:val="00314D9A"/>
    <w:rsid w:val="003154A4"/>
    <w:rsid w:val="00316F3F"/>
    <w:rsid w:val="003231E3"/>
    <w:rsid w:val="003328A5"/>
    <w:rsid w:val="00334927"/>
    <w:rsid w:val="00337624"/>
    <w:rsid w:val="00337A0A"/>
    <w:rsid w:val="0035437D"/>
    <w:rsid w:val="0035721B"/>
    <w:rsid w:val="003600E4"/>
    <w:rsid w:val="00361BC7"/>
    <w:rsid w:val="00362581"/>
    <w:rsid w:val="0036329F"/>
    <w:rsid w:val="00363CF1"/>
    <w:rsid w:val="00365555"/>
    <w:rsid w:val="00373197"/>
    <w:rsid w:val="00380B55"/>
    <w:rsid w:val="00386221"/>
    <w:rsid w:val="00390EDF"/>
    <w:rsid w:val="003A0879"/>
    <w:rsid w:val="003A2CFB"/>
    <w:rsid w:val="003B2107"/>
    <w:rsid w:val="003B659E"/>
    <w:rsid w:val="003B7F4F"/>
    <w:rsid w:val="003C167D"/>
    <w:rsid w:val="003D2F93"/>
    <w:rsid w:val="003D3623"/>
    <w:rsid w:val="003D3724"/>
    <w:rsid w:val="003E2EF6"/>
    <w:rsid w:val="003E48A6"/>
    <w:rsid w:val="00401957"/>
    <w:rsid w:val="004028E2"/>
    <w:rsid w:val="00403F79"/>
    <w:rsid w:val="00406C66"/>
    <w:rsid w:val="004150B1"/>
    <w:rsid w:val="004178ED"/>
    <w:rsid w:val="004179C9"/>
    <w:rsid w:val="00417AA0"/>
    <w:rsid w:val="004245B4"/>
    <w:rsid w:val="00436A10"/>
    <w:rsid w:val="0043750A"/>
    <w:rsid w:val="004443F1"/>
    <w:rsid w:val="00445154"/>
    <w:rsid w:val="004610FD"/>
    <w:rsid w:val="00467E36"/>
    <w:rsid w:val="00470BFD"/>
    <w:rsid w:val="00472D15"/>
    <w:rsid w:val="0049573B"/>
    <w:rsid w:val="004A2E93"/>
    <w:rsid w:val="004A653A"/>
    <w:rsid w:val="004B27C5"/>
    <w:rsid w:val="004B28A8"/>
    <w:rsid w:val="004B3279"/>
    <w:rsid w:val="004B77B8"/>
    <w:rsid w:val="004B78E5"/>
    <w:rsid w:val="004B7B4A"/>
    <w:rsid w:val="004C217B"/>
    <w:rsid w:val="004C24DF"/>
    <w:rsid w:val="004C41EF"/>
    <w:rsid w:val="004D1BB9"/>
    <w:rsid w:val="004E0B6E"/>
    <w:rsid w:val="004E0E8E"/>
    <w:rsid w:val="004E106E"/>
    <w:rsid w:val="004E5AB5"/>
    <w:rsid w:val="004E5E66"/>
    <w:rsid w:val="004E7B6A"/>
    <w:rsid w:val="004F01C7"/>
    <w:rsid w:val="004F518D"/>
    <w:rsid w:val="004F723A"/>
    <w:rsid w:val="005032B2"/>
    <w:rsid w:val="00503B4D"/>
    <w:rsid w:val="00504EE9"/>
    <w:rsid w:val="00527F24"/>
    <w:rsid w:val="005301CA"/>
    <w:rsid w:val="00535CC2"/>
    <w:rsid w:val="005433E0"/>
    <w:rsid w:val="00543A7E"/>
    <w:rsid w:val="0054442C"/>
    <w:rsid w:val="00545586"/>
    <w:rsid w:val="00550285"/>
    <w:rsid w:val="00553D08"/>
    <w:rsid w:val="005603AC"/>
    <w:rsid w:val="0056048F"/>
    <w:rsid w:val="00563D4D"/>
    <w:rsid w:val="00563E31"/>
    <w:rsid w:val="0057387F"/>
    <w:rsid w:val="00576222"/>
    <w:rsid w:val="00577E81"/>
    <w:rsid w:val="005836F8"/>
    <w:rsid w:val="00586815"/>
    <w:rsid w:val="00590904"/>
    <w:rsid w:val="005918FA"/>
    <w:rsid w:val="005A1EDB"/>
    <w:rsid w:val="005A2205"/>
    <w:rsid w:val="005A29AC"/>
    <w:rsid w:val="005A4E57"/>
    <w:rsid w:val="005B39A5"/>
    <w:rsid w:val="005B428D"/>
    <w:rsid w:val="005B704F"/>
    <w:rsid w:val="005C0385"/>
    <w:rsid w:val="005D0D78"/>
    <w:rsid w:val="005D1934"/>
    <w:rsid w:val="005D493B"/>
    <w:rsid w:val="005D6057"/>
    <w:rsid w:val="005E3125"/>
    <w:rsid w:val="005E51F9"/>
    <w:rsid w:val="005E559B"/>
    <w:rsid w:val="005E61A8"/>
    <w:rsid w:val="005E76AE"/>
    <w:rsid w:val="005F2161"/>
    <w:rsid w:val="005F62E6"/>
    <w:rsid w:val="005F6419"/>
    <w:rsid w:val="005F6783"/>
    <w:rsid w:val="006055B9"/>
    <w:rsid w:val="00617400"/>
    <w:rsid w:val="0062297B"/>
    <w:rsid w:val="006310CE"/>
    <w:rsid w:val="00632912"/>
    <w:rsid w:val="006342B0"/>
    <w:rsid w:val="00636DF5"/>
    <w:rsid w:val="006370F3"/>
    <w:rsid w:val="00643736"/>
    <w:rsid w:val="00647B28"/>
    <w:rsid w:val="00647E96"/>
    <w:rsid w:val="00652BD8"/>
    <w:rsid w:val="006541B9"/>
    <w:rsid w:val="00656957"/>
    <w:rsid w:val="00661A72"/>
    <w:rsid w:val="00663705"/>
    <w:rsid w:val="00664950"/>
    <w:rsid w:val="00666077"/>
    <w:rsid w:val="006708A2"/>
    <w:rsid w:val="00670A01"/>
    <w:rsid w:val="00683220"/>
    <w:rsid w:val="006838BD"/>
    <w:rsid w:val="00684961"/>
    <w:rsid w:val="00687FA0"/>
    <w:rsid w:val="00691548"/>
    <w:rsid w:val="00693847"/>
    <w:rsid w:val="00693F66"/>
    <w:rsid w:val="006A4569"/>
    <w:rsid w:val="006A5D87"/>
    <w:rsid w:val="006A5F1A"/>
    <w:rsid w:val="006B7010"/>
    <w:rsid w:val="006B73AB"/>
    <w:rsid w:val="006C2646"/>
    <w:rsid w:val="006C7D58"/>
    <w:rsid w:val="006D010A"/>
    <w:rsid w:val="006D18C0"/>
    <w:rsid w:val="006D1BAF"/>
    <w:rsid w:val="006E3D7C"/>
    <w:rsid w:val="006E63E5"/>
    <w:rsid w:val="006F101A"/>
    <w:rsid w:val="006F29CC"/>
    <w:rsid w:val="00703B85"/>
    <w:rsid w:val="00707375"/>
    <w:rsid w:val="007145FF"/>
    <w:rsid w:val="00717B1B"/>
    <w:rsid w:val="007213AC"/>
    <w:rsid w:val="00721651"/>
    <w:rsid w:val="00726434"/>
    <w:rsid w:val="00726D56"/>
    <w:rsid w:val="00732398"/>
    <w:rsid w:val="00732BD6"/>
    <w:rsid w:val="00734816"/>
    <w:rsid w:val="0074319B"/>
    <w:rsid w:val="00743F41"/>
    <w:rsid w:val="00744969"/>
    <w:rsid w:val="00751515"/>
    <w:rsid w:val="0075208B"/>
    <w:rsid w:val="0075474E"/>
    <w:rsid w:val="00754E5F"/>
    <w:rsid w:val="00756195"/>
    <w:rsid w:val="007616FC"/>
    <w:rsid w:val="007637EF"/>
    <w:rsid w:val="00765F76"/>
    <w:rsid w:val="00774663"/>
    <w:rsid w:val="0077759B"/>
    <w:rsid w:val="00781E1D"/>
    <w:rsid w:val="00784616"/>
    <w:rsid w:val="00785232"/>
    <w:rsid w:val="00791BBF"/>
    <w:rsid w:val="00791D81"/>
    <w:rsid w:val="007A0EE8"/>
    <w:rsid w:val="007A1CED"/>
    <w:rsid w:val="007A3B4E"/>
    <w:rsid w:val="007A5B2C"/>
    <w:rsid w:val="007A7414"/>
    <w:rsid w:val="007B0A5C"/>
    <w:rsid w:val="007B27E0"/>
    <w:rsid w:val="007C3ED0"/>
    <w:rsid w:val="007C6848"/>
    <w:rsid w:val="007D1936"/>
    <w:rsid w:val="007D2D71"/>
    <w:rsid w:val="007D3EFC"/>
    <w:rsid w:val="007D6123"/>
    <w:rsid w:val="007D712B"/>
    <w:rsid w:val="007E04B8"/>
    <w:rsid w:val="007E0BE3"/>
    <w:rsid w:val="007E5A9E"/>
    <w:rsid w:val="007F2069"/>
    <w:rsid w:val="00806A76"/>
    <w:rsid w:val="00811C9D"/>
    <w:rsid w:val="00816A79"/>
    <w:rsid w:val="00816C80"/>
    <w:rsid w:val="0083018C"/>
    <w:rsid w:val="0083048F"/>
    <w:rsid w:val="00841BCD"/>
    <w:rsid w:val="00845E49"/>
    <w:rsid w:val="008461CA"/>
    <w:rsid w:val="00856C77"/>
    <w:rsid w:val="0086009D"/>
    <w:rsid w:val="008606FB"/>
    <w:rsid w:val="00860DF3"/>
    <w:rsid w:val="00873184"/>
    <w:rsid w:val="008826C1"/>
    <w:rsid w:val="00884F24"/>
    <w:rsid w:val="00886D17"/>
    <w:rsid w:val="00891B66"/>
    <w:rsid w:val="00896DAB"/>
    <w:rsid w:val="00897390"/>
    <w:rsid w:val="008A30F9"/>
    <w:rsid w:val="008A6955"/>
    <w:rsid w:val="008B3942"/>
    <w:rsid w:val="008B65DE"/>
    <w:rsid w:val="008C6652"/>
    <w:rsid w:val="008D54FD"/>
    <w:rsid w:val="008D6F59"/>
    <w:rsid w:val="008E338F"/>
    <w:rsid w:val="008E4E53"/>
    <w:rsid w:val="008E5288"/>
    <w:rsid w:val="008E6FD8"/>
    <w:rsid w:val="008F2668"/>
    <w:rsid w:val="008F2942"/>
    <w:rsid w:val="008F7230"/>
    <w:rsid w:val="009042BD"/>
    <w:rsid w:val="00905D86"/>
    <w:rsid w:val="009079E2"/>
    <w:rsid w:val="0091208F"/>
    <w:rsid w:val="009124F1"/>
    <w:rsid w:val="0091389A"/>
    <w:rsid w:val="00914E56"/>
    <w:rsid w:val="00932116"/>
    <w:rsid w:val="00933319"/>
    <w:rsid w:val="00940441"/>
    <w:rsid w:val="009431F5"/>
    <w:rsid w:val="00943CBE"/>
    <w:rsid w:val="00954C98"/>
    <w:rsid w:val="009557A8"/>
    <w:rsid w:val="00956404"/>
    <w:rsid w:val="0096482C"/>
    <w:rsid w:val="00971225"/>
    <w:rsid w:val="00971F52"/>
    <w:rsid w:val="0097490E"/>
    <w:rsid w:val="00975693"/>
    <w:rsid w:val="00976BC1"/>
    <w:rsid w:val="00977E1D"/>
    <w:rsid w:val="00982D4B"/>
    <w:rsid w:val="009843EE"/>
    <w:rsid w:val="00984AE7"/>
    <w:rsid w:val="009870BB"/>
    <w:rsid w:val="009B386A"/>
    <w:rsid w:val="009B6E5F"/>
    <w:rsid w:val="009C003D"/>
    <w:rsid w:val="009C134D"/>
    <w:rsid w:val="009C6ED4"/>
    <w:rsid w:val="009C7F3D"/>
    <w:rsid w:val="009D0BBA"/>
    <w:rsid w:val="009D1A4A"/>
    <w:rsid w:val="009D2478"/>
    <w:rsid w:val="009D2E4C"/>
    <w:rsid w:val="009D46AF"/>
    <w:rsid w:val="009E1133"/>
    <w:rsid w:val="009E7C64"/>
    <w:rsid w:val="009F75EE"/>
    <w:rsid w:val="00A05465"/>
    <w:rsid w:val="00A10A1C"/>
    <w:rsid w:val="00A10CC0"/>
    <w:rsid w:val="00A14F0D"/>
    <w:rsid w:val="00A22B78"/>
    <w:rsid w:val="00A22D82"/>
    <w:rsid w:val="00A23A1E"/>
    <w:rsid w:val="00A25AE5"/>
    <w:rsid w:val="00A26008"/>
    <w:rsid w:val="00A3547A"/>
    <w:rsid w:val="00A37002"/>
    <w:rsid w:val="00A44D98"/>
    <w:rsid w:val="00A534F7"/>
    <w:rsid w:val="00A556D8"/>
    <w:rsid w:val="00A6450C"/>
    <w:rsid w:val="00A704F9"/>
    <w:rsid w:val="00A817B9"/>
    <w:rsid w:val="00A9066B"/>
    <w:rsid w:val="00A95B0D"/>
    <w:rsid w:val="00A9644B"/>
    <w:rsid w:val="00AA01F6"/>
    <w:rsid w:val="00AA1B0E"/>
    <w:rsid w:val="00AB5395"/>
    <w:rsid w:val="00AC2EEA"/>
    <w:rsid w:val="00AC5CA7"/>
    <w:rsid w:val="00AD1A30"/>
    <w:rsid w:val="00AD2349"/>
    <w:rsid w:val="00AD3B5F"/>
    <w:rsid w:val="00AD3F09"/>
    <w:rsid w:val="00AD58AB"/>
    <w:rsid w:val="00AD6404"/>
    <w:rsid w:val="00AE24BB"/>
    <w:rsid w:val="00AE488B"/>
    <w:rsid w:val="00AE56B1"/>
    <w:rsid w:val="00AF3AFE"/>
    <w:rsid w:val="00B021C4"/>
    <w:rsid w:val="00B040D6"/>
    <w:rsid w:val="00B04908"/>
    <w:rsid w:val="00B05439"/>
    <w:rsid w:val="00B10414"/>
    <w:rsid w:val="00B109A9"/>
    <w:rsid w:val="00B151DA"/>
    <w:rsid w:val="00B21469"/>
    <w:rsid w:val="00B26C84"/>
    <w:rsid w:val="00B3373B"/>
    <w:rsid w:val="00B37089"/>
    <w:rsid w:val="00B40E2A"/>
    <w:rsid w:val="00B44136"/>
    <w:rsid w:val="00B5279B"/>
    <w:rsid w:val="00B64EFE"/>
    <w:rsid w:val="00B653EB"/>
    <w:rsid w:val="00B737E6"/>
    <w:rsid w:val="00B73862"/>
    <w:rsid w:val="00B75722"/>
    <w:rsid w:val="00B772A0"/>
    <w:rsid w:val="00B864D6"/>
    <w:rsid w:val="00B9059E"/>
    <w:rsid w:val="00B92370"/>
    <w:rsid w:val="00B96208"/>
    <w:rsid w:val="00BA6900"/>
    <w:rsid w:val="00BA6E48"/>
    <w:rsid w:val="00BA6F8F"/>
    <w:rsid w:val="00BA713E"/>
    <w:rsid w:val="00BA724E"/>
    <w:rsid w:val="00BB0F3E"/>
    <w:rsid w:val="00BB1746"/>
    <w:rsid w:val="00BB2E53"/>
    <w:rsid w:val="00BB5236"/>
    <w:rsid w:val="00BD2AF1"/>
    <w:rsid w:val="00BD5B00"/>
    <w:rsid w:val="00BE1D2A"/>
    <w:rsid w:val="00BE459B"/>
    <w:rsid w:val="00BE4D65"/>
    <w:rsid w:val="00BF0C8A"/>
    <w:rsid w:val="00BF2218"/>
    <w:rsid w:val="00BF7764"/>
    <w:rsid w:val="00BF7C9A"/>
    <w:rsid w:val="00C03FA4"/>
    <w:rsid w:val="00C14E4C"/>
    <w:rsid w:val="00C15605"/>
    <w:rsid w:val="00C167C8"/>
    <w:rsid w:val="00C20AD9"/>
    <w:rsid w:val="00C2268F"/>
    <w:rsid w:val="00C25456"/>
    <w:rsid w:val="00C31CCF"/>
    <w:rsid w:val="00C31E27"/>
    <w:rsid w:val="00C500E0"/>
    <w:rsid w:val="00C54416"/>
    <w:rsid w:val="00C60E47"/>
    <w:rsid w:val="00C673F9"/>
    <w:rsid w:val="00C67C40"/>
    <w:rsid w:val="00C70B2D"/>
    <w:rsid w:val="00C71431"/>
    <w:rsid w:val="00C72BEE"/>
    <w:rsid w:val="00C801DE"/>
    <w:rsid w:val="00C835DE"/>
    <w:rsid w:val="00C86122"/>
    <w:rsid w:val="00C8738D"/>
    <w:rsid w:val="00C92CAC"/>
    <w:rsid w:val="00C94120"/>
    <w:rsid w:val="00CA271F"/>
    <w:rsid w:val="00CA2FB5"/>
    <w:rsid w:val="00CA385F"/>
    <w:rsid w:val="00CA51FF"/>
    <w:rsid w:val="00CB1737"/>
    <w:rsid w:val="00CB2381"/>
    <w:rsid w:val="00CB2940"/>
    <w:rsid w:val="00CB49CF"/>
    <w:rsid w:val="00CB5BFE"/>
    <w:rsid w:val="00CC1E69"/>
    <w:rsid w:val="00CD0513"/>
    <w:rsid w:val="00CD7492"/>
    <w:rsid w:val="00CE2D3C"/>
    <w:rsid w:val="00CE3A6B"/>
    <w:rsid w:val="00CE5F79"/>
    <w:rsid w:val="00CE648B"/>
    <w:rsid w:val="00CF2BE2"/>
    <w:rsid w:val="00D00211"/>
    <w:rsid w:val="00D06192"/>
    <w:rsid w:val="00D06309"/>
    <w:rsid w:val="00D10B69"/>
    <w:rsid w:val="00D113F6"/>
    <w:rsid w:val="00D122EE"/>
    <w:rsid w:val="00D12326"/>
    <w:rsid w:val="00D13730"/>
    <w:rsid w:val="00D148B6"/>
    <w:rsid w:val="00D164F1"/>
    <w:rsid w:val="00D16914"/>
    <w:rsid w:val="00D21E7B"/>
    <w:rsid w:val="00D27872"/>
    <w:rsid w:val="00D302B9"/>
    <w:rsid w:val="00D34802"/>
    <w:rsid w:val="00D350A6"/>
    <w:rsid w:val="00D351EA"/>
    <w:rsid w:val="00D37F3F"/>
    <w:rsid w:val="00D40E94"/>
    <w:rsid w:val="00D43366"/>
    <w:rsid w:val="00D43403"/>
    <w:rsid w:val="00D51730"/>
    <w:rsid w:val="00D5580D"/>
    <w:rsid w:val="00D60DF3"/>
    <w:rsid w:val="00D62E71"/>
    <w:rsid w:val="00D740CA"/>
    <w:rsid w:val="00D74E22"/>
    <w:rsid w:val="00D76473"/>
    <w:rsid w:val="00D84F7E"/>
    <w:rsid w:val="00D85728"/>
    <w:rsid w:val="00D946BA"/>
    <w:rsid w:val="00D96A01"/>
    <w:rsid w:val="00D9793C"/>
    <w:rsid w:val="00D97F4E"/>
    <w:rsid w:val="00DA2EF9"/>
    <w:rsid w:val="00DA2FF8"/>
    <w:rsid w:val="00DA5633"/>
    <w:rsid w:val="00DA606C"/>
    <w:rsid w:val="00DB7EDD"/>
    <w:rsid w:val="00DC4B8E"/>
    <w:rsid w:val="00DD3D32"/>
    <w:rsid w:val="00DD555A"/>
    <w:rsid w:val="00DF0610"/>
    <w:rsid w:val="00DF2997"/>
    <w:rsid w:val="00DF35CA"/>
    <w:rsid w:val="00DF6B00"/>
    <w:rsid w:val="00DF7C62"/>
    <w:rsid w:val="00E00BFF"/>
    <w:rsid w:val="00E1053B"/>
    <w:rsid w:val="00E15F17"/>
    <w:rsid w:val="00E2321F"/>
    <w:rsid w:val="00E33C42"/>
    <w:rsid w:val="00E43440"/>
    <w:rsid w:val="00E47F4C"/>
    <w:rsid w:val="00E53CF7"/>
    <w:rsid w:val="00E91864"/>
    <w:rsid w:val="00E91995"/>
    <w:rsid w:val="00EA0812"/>
    <w:rsid w:val="00EA17AC"/>
    <w:rsid w:val="00EA4F59"/>
    <w:rsid w:val="00EA6BCE"/>
    <w:rsid w:val="00EB09BC"/>
    <w:rsid w:val="00EB1604"/>
    <w:rsid w:val="00EC2FCA"/>
    <w:rsid w:val="00EC7BC3"/>
    <w:rsid w:val="00ED2839"/>
    <w:rsid w:val="00ED7600"/>
    <w:rsid w:val="00EE43DA"/>
    <w:rsid w:val="00EF0D62"/>
    <w:rsid w:val="00EF2A70"/>
    <w:rsid w:val="00EF3696"/>
    <w:rsid w:val="00F01266"/>
    <w:rsid w:val="00F01626"/>
    <w:rsid w:val="00F01A38"/>
    <w:rsid w:val="00F046A5"/>
    <w:rsid w:val="00F1362C"/>
    <w:rsid w:val="00F2296F"/>
    <w:rsid w:val="00F268F1"/>
    <w:rsid w:val="00F30EA3"/>
    <w:rsid w:val="00F341FB"/>
    <w:rsid w:val="00F359EB"/>
    <w:rsid w:val="00F36CC5"/>
    <w:rsid w:val="00F40BA2"/>
    <w:rsid w:val="00F45B86"/>
    <w:rsid w:val="00F6518D"/>
    <w:rsid w:val="00F706FA"/>
    <w:rsid w:val="00F74981"/>
    <w:rsid w:val="00F754C9"/>
    <w:rsid w:val="00F76908"/>
    <w:rsid w:val="00F824F5"/>
    <w:rsid w:val="00F8503C"/>
    <w:rsid w:val="00F90239"/>
    <w:rsid w:val="00F904E9"/>
    <w:rsid w:val="00F90A62"/>
    <w:rsid w:val="00F912B5"/>
    <w:rsid w:val="00F92125"/>
    <w:rsid w:val="00F937DF"/>
    <w:rsid w:val="00FA189B"/>
    <w:rsid w:val="00FA3FA5"/>
    <w:rsid w:val="00FA43C5"/>
    <w:rsid w:val="00FB2E9A"/>
    <w:rsid w:val="00FB4B7A"/>
    <w:rsid w:val="00FC29B9"/>
    <w:rsid w:val="00FC2A49"/>
    <w:rsid w:val="00FC6FD3"/>
    <w:rsid w:val="00FD03C4"/>
    <w:rsid w:val="00FD5F3F"/>
    <w:rsid w:val="00FE2C59"/>
    <w:rsid w:val="00FE3E3F"/>
    <w:rsid w:val="00FF6F1E"/>
    <w:rsid w:val="1FD33A33"/>
    <w:rsid w:val="56FB6F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389C8F8"/>
  <w15:chartTrackingRefBased/>
  <w15:docId w15:val="{D043D041-A1DC-40D4-ABD8-ABF1C1394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C5441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 Char,R4_bullets Char,列出段落1 Char,中等深浅网格 1 - 着色 21 Char,列表段落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390EDF"/>
    <w:pPr>
      <w:ind w:left="0" w:firstLine="0"/>
      <w:contextualSpacing w:val="0"/>
    </w:pPr>
  </w:style>
  <w:style w:type="character" w:customStyle="1" w:styleId="RAN4observationChar0">
    <w:name w:val="RAN4 observation Char"/>
    <w:basedOn w:val="RAN4ObservationChar"/>
    <w:link w:val="RAN4observation0"/>
    <w:rsid w:val="00390EDF"/>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F754C9"/>
    <w:pPr>
      <w:tabs>
        <w:tab w:val="center" w:pos="4536"/>
        <w:tab w:val="right" w:pos="9072"/>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754C9"/>
    <w:rPr>
      <w:rFonts w:ascii="Times New Roman" w:hAnsi="Times New Roman"/>
      <w:sz w:val="20"/>
    </w:rPr>
  </w:style>
  <w:style w:type="paragraph" w:styleId="NormalWeb">
    <w:name w:val="Normal (Web)"/>
    <w:basedOn w:val="Normal"/>
    <w:uiPriority w:val="99"/>
    <w:semiHidden/>
    <w:unhideWhenUsed/>
    <w:rsid w:val="004A2E93"/>
    <w:pPr>
      <w:spacing w:before="100" w:beforeAutospacing="1" w:after="100" w:afterAutospacing="1" w:line="240" w:lineRule="auto"/>
    </w:pPr>
    <w:rPr>
      <w:rFonts w:eastAsia="Times New Roman" w:cs="Times New Roman"/>
      <w:sz w:val="24"/>
      <w:szCs w:val="24"/>
    </w:rPr>
  </w:style>
  <w:style w:type="paragraph" w:styleId="Footer">
    <w:name w:val="footer"/>
    <w:basedOn w:val="Normal"/>
    <w:link w:val="FooterChar"/>
    <w:uiPriority w:val="99"/>
    <w:unhideWhenUsed/>
    <w:rsid w:val="00D60DF3"/>
    <w:pPr>
      <w:tabs>
        <w:tab w:val="center" w:pos="4703"/>
        <w:tab w:val="right" w:pos="9406"/>
      </w:tabs>
      <w:spacing w:after="0" w:line="240" w:lineRule="auto"/>
    </w:pPr>
  </w:style>
  <w:style w:type="character" w:customStyle="1" w:styleId="FooterChar">
    <w:name w:val="Footer Char"/>
    <w:basedOn w:val="DefaultParagraphFont"/>
    <w:link w:val="Footer"/>
    <w:uiPriority w:val="99"/>
    <w:rsid w:val="00D60DF3"/>
    <w:rPr>
      <w:rFonts w:ascii="Times New Roman" w:hAnsi="Times New Roman"/>
      <w:sz w:val="20"/>
    </w:rPr>
  </w:style>
  <w:style w:type="character" w:styleId="CommentReference">
    <w:name w:val="annotation reference"/>
    <w:basedOn w:val="DefaultParagraphFont"/>
    <w:semiHidden/>
    <w:unhideWhenUsed/>
    <w:qFormat/>
    <w:rsid w:val="008E6FD8"/>
    <w:rPr>
      <w:sz w:val="16"/>
      <w:szCs w:val="16"/>
    </w:rPr>
  </w:style>
  <w:style w:type="paragraph" w:styleId="CommentText">
    <w:name w:val="annotation text"/>
    <w:basedOn w:val="Normal"/>
    <w:link w:val="CommentTextChar"/>
    <w:uiPriority w:val="99"/>
    <w:semiHidden/>
    <w:unhideWhenUsed/>
    <w:rsid w:val="008E6FD8"/>
    <w:pPr>
      <w:spacing w:line="240" w:lineRule="auto"/>
    </w:pPr>
    <w:rPr>
      <w:szCs w:val="20"/>
    </w:rPr>
  </w:style>
  <w:style w:type="character" w:customStyle="1" w:styleId="CommentTextChar">
    <w:name w:val="Comment Text Char"/>
    <w:basedOn w:val="DefaultParagraphFont"/>
    <w:link w:val="CommentText"/>
    <w:uiPriority w:val="99"/>
    <w:semiHidden/>
    <w:rsid w:val="008E6FD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8E6FD8"/>
    <w:rPr>
      <w:b/>
      <w:bCs/>
    </w:rPr>
  </w:style>
  <w:style w:type="character" w:customStyle="1" w:styleId="CommentSubjectChar">
    <w:name w:val="Comment Subject Char"/>
    <w:basedOn w:val="CommentTextChar"/>
    <w:link w:val="CommentSubject"/>
    <w:uiPriority w:val="99"/>
    <w:semiHidden/>
    <w:rsid w:val="008E6FD8"/>
    <w:rPr>
      <w:rFonts w:ascii="Times New Roman" w:hAnsi="Times New Roman"/>
      <w:b/>
      <w:bCs/>
      <w:sz w:val="20"/>
      <w:szCs w:val="20"/>
    </w:rPr>
  </w:style>
  <w:style w:type="character" w:styleId="Mention">
    <w:name w:val="Mention"/>
    <w:basedOn w:val="DefaultParagraphFont"/>
    <w:uiPriority w:val="99"/>
    <w:unhideWhenUsed/>
    <w:rPr>
      <w:color w:val="2B579A"/>
      <w:shd w:val="clear" w:color="auto" w:fill="E6E6E6"/>
    </w:rPr>
  </w:style>
  <w:style w:type="character" w:styleId="UnresolvedMention">
    <w:name w:val="Unresolved Mention"/>
    <w:basedOn w:val="DefaultParagraphFont"/>
    <w:uiPriority w:val="99"/>
    <w:semiHidden/>
    <w:unhideWhenUsed/>
    <w:rsid w:val="00D13730"/>
    <w:rPr>
      <w:color w:val="605E5C"/>
      <w:shd w:val="clear" w:color="auto" w:fill="E1DFDD"/>
    </w:rPr>
  </w:style>
  <w:style w:type="paragraph" w:styleId="BodyText">
    <w:name w:val="Body Text"/>
    <w:basedOn w:val="Normal"/>
    <w:link w:val="BodyTextChar"/>
    <w:semiHidden/>
    <w:unhideWhenUsed/>
    <w:qFormat/>
    <w:rsid w:val="00816A79"/>
    <w:pPr>
      <w:spacing w:after="180" w:line="256" w:lineRule="auto"/>
    </w:pPr>
    <w:rPr>
      <w:rFonts w:eastAsia="SimSun" w:cs="Times New Roman"/>
      <w:szCs w:val="20"/>
      <w:lang w:val="en-GB"/>
    </w:rPr>
  </w:style>
  <w:style w:type="character" w:customStyle="1" w:styleId="BodyTextChar">
    <w:name w:val="Body Text Char"/>
    <w:basedOn w:val="DefaultParagraphFont"/>
    <w:link w:val="BodyText"/>
    <w:semiHidden/>
    <w:qFormat/>
    <w:rsid w:val="00816A79"/>
    <w:rPr>
      <w:rFonts w:ascii="Times New Roman" w:eastAsia="SimSun" w:hAnsi="Times New Roman" w:cs="Times New Roman"/>
      <w:sz w:val="20"/>
      <w:szCs w:val="20"/>
      <w:lang w:val="en-GB"/>
    </w:rPr>
  </w:style>
  <w:style w:type="character" w:customStyle="1" w:styleId="Heading3Char">
    <w:name w:val="Heading 3 Char"/>
    <w:basedOn w:val="DefaultParagraphFont"/>
    <w:link w:val="Heading3"/>
    <w:uiPriority w:val="9"/>
    <w:semiHidden/>
    <w:rsid w:val="00C54416"/>
    <w:rPr>
      <w:rFonts w:asciiTheme="majorHAnsi" w:eastAsiaTheme="majorEastAsia" w:hAnsiTheme="majorHAnsi" w:cstheme="majorBidi"/>
      <w:color w:val="1F3763" w:themeColor="accent1" w:themeShade="7F"/>
      <w:sz w:val="24"/>
      <w:szCs w:val="24"/>
    </w:rPr>
  </w:style>
  <w:style w:type="character" w:customStyle="1" w:styleId="3GPPAgreementsChar">
    <w:name w:val="3GPP Agreements Char"/>
    <w:link w:val="3GPPAgreements"/>
    <w:qFormat/>
    <w:locked/>
    <w:rsid w:val="00C54416"/>
  </w:style>
  <w:style w:type="paragraph" w:customStyle="1" w:styleId="3GPPAgreements">
    <w:name w:val="3GPP Agreements"/>
    <w:basedOn w:val="Normal"/>
    <w:link w:val="3GPPAgreementsChar"/>
    <w:qFormat/>
    <w:rsid w:val="00C54416"/>
    <w:pPr>
      <w:numPr>
        <w:numId w:val="12"/>
      </w:numPr>
      <w:autoSpaceDE w:val="0"/>
      <w:autoSpaceDN w:val="0"/>
      <w:adjustRightInd w:val="0"/>
      <w:snapToGrid w:val="0"/>
      <w:spacing w:after="120" w:line="256" w:lineRule="auto"/>
      <w:jc w:val="both"/>
    </w:pPr>
    <w:rPr>
      <w:rFonts w:asciiTheme="minorHAnsi" w:hAnsiTheme="minorHAnsi"/>
      <w:sz w:val="22"/>
    </w:rPr>
  </w:style>
  <w:style w:type="paragraph" w:customStyle="1" w:styleId="Agreement">
    <w:name w:val="Agreement"/>
    <w:basedOn w:val="Normal"/>
    <w:next w:val="Normal"/>
    <w:uiPriority w:val="99"/>
    <w:qFormat/>
    <w:rsid w:val="00010467"/>
    <w:pPr>
      <w:numPr>
        <w:numId w:val="16"/>
      </w:numPr>
      <w:tabs>
        <w:tab w:val="num" w:pos="1620"/>
      </w:tabs>
      <w:spacing w:before="60" w:after="0" w:line="240" w:lineRule="auto"/>
      <w:ind w:left="1620"/>
    </w:pPr>
    <w:rPr>
      <w:rFonts w:ascii="Arial" w:eastAsia="MS Mincho" w:hAnsi="Arial" w:cs="Times New Roman"/>
      <w:b/>
      <w:szCs w:val="24"/>
      <w:lang w:val="en-GB" w:eastAsia="en-GB"/>
    </w:rPr>
  </w:style>
  <w:style w:type="character" w:styleId="FollowedHyperlink">
    <w:name w:val="FollowedHyperlink"/>
    <w:basedOn w:val="DefaultParagraphFont"/>
    <w:uiPriority w:val="99"/>
    <w:semiHidden/>
    <w:unhideWhenUsed/>
    <w:rsid w:val="009C7F3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720986">
      <w:bodyDiv w:val="1"/>
      <w:marLeft w:val="0"/>
      <w:marRight w:val="0"/>
      <w:marTop w:val="0"/>
      <w:marBottom w:val="0"/>
      <w:divBdr>
        <w:top w:val="none" w:sz="0" w:space="0" w:color="auto"/>
        <w:left w:val="none" w:sz="0" w:space="0" w:color="auto"/>
        <w:bottom w:val="none" w:sz="0" w:space="0" w:color="auto"/>
        <w:right w:val="none" w:sz="0" w:space="0" w:color="auto"/>
      </w:divBdr>
    </w:div>
    <w:div w:id="61997109">
      <w:bodyDiv w:val="1"/>
      <w:marLeft w:val="0"/>
      <w:marRight w:val="0"/>
      <w:marTop w:val="0"/>
      <w:marBottom w:val="0"/>
      <w:divBdr>
        <w:top w:val="none" w:sz="0" w:space="0" w:color="auto"/>
        <w:left w:val="none" w:sz="0" w:space="0" w:color="auto"/>
        <w:bottom w:val="none" w:sz="0" w:space="0" w:color="auto"/>
        <w:right w:val="none" w:sz="0" w:space="0" w:color="auto"/>
      </w:divBdr>
      <w:divsChild>
        <w:div w:id="1623027630">
          <w:marLeft w:val="1166"/>
          <w:marRight w:val="0"/>
          <w:marTop w:val="115"/>
          <w:marBottom w:val="0"/>
          <w:divBdr>
            <w:top w:val="none" w:sz="0" w:space="0" w:color="auto"/>
            <w:left w:val="none" w:sz="0" w:space="0" w:color="auto"/>
            <w:bottom w:val="none" w:sz="0" w:space="0" w:color="auto"/>
            <w:right w:val="none" w:sz="0" w:space="0" w:color="auto"/>
          </w:divBdr>
        </w:div>
      </w:divsChild>
    </w:div>
    <w:div w:id="72044949">
      <w:bodyDiv w:val="1"/>
      <w:marLeft w:val="0"/>
      <w:marRight w:val="0"/>
      <w:marTop w:val="0"/>
      <w:marBottom w:val="0"/>
      <w:divBdr>
        <w:top w:val="none" w:sz="0" w:space="0" w:color="auto"/>
        <w:left w:val="none" w:sz="0" w:space="0" w:color="auto"/>
        <w:bottom w:val="none" w:sz="0" w:space="0" w:color="auto"/>
        <w:right w:val="none" w:sz="0" w:space="0" w:color="auto"/>
      </w:divBdr>
    </w:div>
    <w:div w:id="83691843">
      <w:bodyDiv w:val="1"/>
      <w:marLeft w:val="0"/>
      <w:marRight w:val="0"/>
      <w:marTop w:val="0"/>
      <w:marBottom w:val="0"/>
      <w:divBdr>
        <w:top w:val="none" w:sz="0" w:space="0" w:color="auto"/>
        <w:left w:val="none" w:sz="0" w:space="0" w:color="auto"/>
        <w:bottom w:val="none" w:sz="0" w:space="0" w:color="auto"/>
        <w:right w:val="none" w:sz="0" w:space="0" w:color="auto"/>
      </w:divBdr>
    </w:div>
    <w:div w:id="110562460">
      <w:bodyDiv w:val="1"/>
      <w:marLeft w:val="0"/>
      <w:marRight w:val="0"/>
      <w:marTop w:val="0"/>
      <w:marBottom w:val="0"/>
      <w:divBdr>
        <w:top w:val="none" w:sz="0" w:space="0" w:color="auto"/>
        <w:left w:val="none" w:sz="0" w:space="0" w:color="auto"/>
        <w:bottom w:val="none" w:sz="0" w:space="0" w:color="auto"/>
        <w:right w:val="none" w:sz="0" w:space="0" w:color="auto"/>
      </w:divBdr>
    </w:div>
    <w:div w:id="222638544">
      <w:bodyDiv w:val="1"/>
      <w:marLeft w:val="0"/>
      <w:marRight w:val="0"/>
      <w:marTop w:val="0"/>
      <w:marBottom w:val="0"/>
      <w:divBdr>
        <w:top w:val="none" w:sz="0" w:space="0" w:color="auto"/>
        <w:left w:val="none" w:sz="0" w:space="0" w:color="auto"/>
        <w:bottom w:val="none" w:sz="0" w:space="0" w:color="auto"/>
        <w:right w:val="none" w:sz="0" w:space="0" w:color="auto"/>
      </w:divBdr>
    </w:div>
    <w:div w:id="227620202">
      <w:bodyDiv w:val="1"/>
      <w:marLeft w:val="0"/>
      <w:marRight w:val="0"/>
      <w:marTop w:val="0"/>
      <w:marBottom w:val="0"/>
      <w:divBdr>
        <w:top w:val="none" w:sz="0" w:space="0" w:color="auto"/>
        <w:left w:val="none" w:sz="0" w:space="0" w:color="auto"/>
        <w:bottom w:val="none" w:sz="0" w:space="0" w:color="auto"/>
        <w:right w:val="none" w:sz="0" w:space="0" w:color="auto"/>
      </w:divBdr>
    </w:div>
    <w:div w:id="321548587">
      <w:bodyDiv w:val="1"/>
      <w:marLeft w:val="0"/>
      <w:marRight w:val="0"/>
      <w:marTop w:val="0"/>
      <w:marBottom w:val="0"/>
      <w:divBdr>
        <w:top w:val="none" w:sz="0" w:space="0" w:color="auto"/>
        <w:left w:val="none" w:sz="0" w:space="0" w:color="auto"/>
        <w:bottom w:val="none" w:sz="0" w:space="0" w:color="auto"/>
        <w:right w:val="none" w:sz="0" w:space="0" w:color="auto"/>
      </w:divBdr>
    </w:div>
    <w:div w:id="330910115">
      <w:bodyDiv w:val="1"/>
      <w:marLeft w:val="0"/>
      <w:marRight w:val="0"/>
      <w:marTop w:val="0"/>
      <w:marBottom w:val="0"/>
      <w:divBdr>
        <w:top w:val="none" w:sz="0" w:space="0" w:color="auto"/>
        <w:left w:val="none" w:sz="0" w:space="0" w:color="auto"/>
        <w:bottom w:val="none" w:sz="0" w:space="0" w:color="auto"/>
        <w:right w:val="none" w:sz="0" w:space="0" w:color="auto"/>
      </w:divBdr>
    </w:div>
    <w:div w:id="342587120">
      <w:bodyDiv w:val="1"/>
      <w:marLeft w:val="0"/>
      <w:marRight w:val="0"/>
      <w:marTop w:val="0"/>
      <w:marBottom w:val="0"/>
      <w:divBdr>
        <w:top w:val="none" w:sz="0" w:space="0" w:color="auto"/>
        <w:left w:val="none" w:sz="0" w:space="0" w:color="auto"/>
        <w:bottom w:val="none" w:sz="0" w:space="0" w:color="auto"/>
        <w:right w:val="none" w:sz="0" w:space="0" w:color="auto"/>
      </w:divBdr>
      <w:divsChild>
        <w:div w:id="334040452">
          <w:marLeft w:val="562"/>
          <w:marRight w:val="0"/>
          <w:marTop w:val="0"/>
          <w:marBottom w:val="60"/>
          <w:divBdr>
            <w:top w:val="none" w:sz="0" w:space="0" w:color="auto"/>
            <w:left w:val="none" w:sz="0" w:space="0" w:color="auto"/>
            <w:bottom w:val="none" w:sz="0" w:space="0" w:color="auto"/>
            <w:right w:val="none" w:sz="0" w:space="0" w:color="auto"/>
          </w:divBdr>
        </w:div>
      </w:divsChild>
    </w:div>
    <w:div w:id="347214565">
      <w:bodyDiv w:val="1"/>
      <w:marLeft w:val="0"/>
      <w:marRight w:val="0"/>
      <w:marTop w:val="0"/>
      <w:marBottom w:val="0"/>
      <w:divBdr>
        <w:top w:val="none" w:sz="0" w:space="0" w:color="auto"/>
        <w:left w:val="none" w:sz="0" w:space="0" w:color="auto"/>
        <w:bottom w:val="none" w:sz="0" w:space="0" w:color="auto"/>
        <w:right w:val="none" w:sz="0" w:space="0" w:color="auto"/>
      </w:divBdr>
      <w:divsChild>
        <w:div w:id="1014650141">
          <w:marLeft w:val="1166"/>
          <w:marRight w:val="0"/>
          <w:marTop w:val="134"/>
          <w:marBottom w:val="0"/>
          <w:divBdr>
            <w:top w:val="none" w:sz="0" w:space="0" w:color="auto"/>
            <w:left w:val="none" w:sz="0" w:space="0" w:color="auto"/>
            <w:bottom w:val="none" w:sz="0" w:space="0" w:color="auto"/>
            <w:right w:val="none" w:sz="0" w:space="0" w:color="auto"/>
          </w:divBdr>
        </w:div>
        <w:div w:id="1331954478">
          <w:marLeft w:val="1166"/>
          <w:marRight w:val="0"/>
          <w:marTop w:val="134"/>
          <w:marBottom w:val="0"/>
          <w:divBdr>
            <w:top w:val="none" w:sz="0" w:space="0" w:color="auto"/>
            <w:left w:val="none" w:sz="0" w:space="0" w:color="auto"/>
            <w:bottom w:val="none" w:sz="0" w:space="0" w:color="auto"/>
            <w:right w:val="none" w:sz="0" w:space="0" w:color="auto"/>
          </w:divBdr>
        </w:div>
      </w:divsChild>
    </w:div>
    <w:div w:id="366684169">
      <w:bodyDiv w:val="1"/>
      <w:marLeft w:val="0"/>
      <w:marRight w:val="0"/>
      <w:marTop w:val="0"/>
      <w:marBottom w:val="0"/>
      <w:divBdr>
        <w:top w:val="none" w:sz="0" w:space="0" w:color="auto"/>
        <w:left w:val="none" w:sz="0" w:space="0" w:color="auto"/>
        <w:bottom w:val="none" w:sz="0" w:space="0" w:color="auto"/>
        <w:right w:val="none" w:sz="0" w:space="0" w:color="auto"/>
      </w:divBdr>
    </w:div>
    <w:div w:id="450829380">
      <w:bodyDiv w:val="1"/>
      <w:marLeft w:val="0"/>
      <w:marRight w:val="0"/>
      <w:marTop w:val="0"/>
      <w:marBottom w:val="0"/>
      <w:divBdr>
        <w:top w:val="none" w:sz="0" w:space="0" w:color="auto"/>
        <w:left w:val="none" w:sz="0" w:space="0" w:color="auto"/>
        <w:bottom w:val="none" w:sz="0" w:space="0" w:color="auto"/>
        <w:right w:val="none" w:sz="0" w:space="0" w:color="auto"/>
      </w:divBdr>
    </w:div>
    <w:div w:id="562374532">
      <w:bodyDiv w:val="1"/>
      <w:marLeft w:val="0"/>
      <w:marRight w:val="0"/>
      <w:marTop w:val="0"/>
      <w:marBottom w:val="0"/>
      <w:divBdr>
        <w:top w:val="none" w:sz="0" w:space="0" w:color="auto"/>
        <w:left w:val="none" w:sz="0" w:space="0" w:color="auto"/>
        <w:bottom w:val="none" w:sz="0" w:space="0" w:color="auto"/>
        <w:right w:val="none" w:sz="0" w:space="0" w:color="auto"/>
      </w:divBdr>
      <w:divsChild>
        <w:div w:id="516651710">
          <w:marLeft w:val="274"/>
          <w:marRight w:val="0"/>
          <w:marTop w:val="0"/>
          <w:marBottom w:val="60"/>
          <w:divBdr>
            <w:top w:val="none" w:sz="0" w:space="0" w:color="auto"/>
            <w:left w:val="none" w:sz="0" w:space="0" w:color="auto"/>
            <w:bottom w:val="none" w:sz="0" w:space="0" w:color="auto"/>
            <w:right w:val="none" w:sz="0" w:space="0" w:color="auto"/>
          </w:divBdr>
        </w:div>
        <w:div w:id="1550335271">
          <w:marLeft w:val="274"/>
          <w:marRight w:val="0"/>
          <w:marTop w:val="0"/>
          <w:marBottom w:val="60"/>
          <w:divBdr>
            <w:top w:val="none" w:sz="0" w:space="0" w:color="auto"/>
            <w:left w:val="none" w:sz="0" w:space="0" w:color="auto"/>
            <w:bottom w:val="none" w:sz="0" w:space="0" w:color="auto"/>
            <w:right w:val="none" w:sz="0" w:space="0" w:color="auto"/>
          </w:divBdr>
        </w:div>
        <w:div w:id="2075734879">
          <w:marLeft w:val="274"/>
          <w:marRight w:val="0"/>
          <w:marTop w:val="0"/>
          <w:marBottom w:val="60"/>
          <w:divBdr>
            <w:top w:val="none" w:sz="0" w:space="0" w:color="auto"/>
            <w:left w:val="none" w:sz="0" w:space="0" w:color="auto"/>
            <w:bottom w:val="none" w:sz="0" w:space="0" w:color="auto"/>
            <w:right w:val="none" w:sz="0" w:space="0" w:color="auto"/>
          </w:divBdr>
        </w:div>
      </w:divsChild>
    </w:div>
    <w:div w:id="764349341">
      <w:bodyDiv w:val="1"/>
      <w:marLeft w:val="0"/>
      <w:marRight w:val="0"/>
      <w:marTop w:val="0"/>
      <w:marBottom w:val="0"/>
      <w:divBdr>
        <w:top w:val="none" w:sz="0" w:space="0" w:color="auto"/>
        <w:left w:val="none" w:sz="0" w:space="0" w:color="auto"/>
        <w:bottom w:val="none" w:sz="0" w:space="0" w:color="auto"/>
        <w:right w:val="none" w:sz="0" w:space="0" w:color="auto"/>
      </w:divBdr>
      <w:divsChild>
        <w:div w:id="1082484203">
          <w:marLeft w:val="288"/>
          <w:marRight w:val="0"/>
          <w:marTop w:val="0"/>
          <w:marBottom w:val="0"/>
          <w:divBdr>
            <w:top w:val="none" w:sz="0" w:space="0" w:color="auto"/>
            <w:left w:val="none" w:sz="0" w:space="0" w:color="auto"/>
            <w:bottom w:val="none" w:sz="0" w:space="0" w:color="auto"/>
            <w:right w:val="none" w:sz="0" w:space="0" w:color="auto"/>
          </w:divBdr>
        </w:div>
        <w:div w:id="274144535">
          <w:marLeft w:val="562"/>
          <w:marRight w:val="0"/>
          <w:marTop w:val="0"/>
          <w:marBottom w:val="0"/>
          <w:divBdr>
            <w:top w:val="none" w:sz="0" w:space="0" w:color="auto"/>
            <w:left w:val="none" w:sz="0" w:space="0" w:color="auto"/>
            <w:bottom w:val="none" w:sz="0" w:space="0" w:color="auto"/>
            <w:right w:val="none" w:sz="0" w:space="0" w:color="auto"/>
          </w:divBdr>
        </w:div>
        <w:div w:id="84688241">
          <w:marLeft w:val="202"/>
          <w:marRight w:val="0"/>
          <w:marTop w:val="0"/>
          <w:marBottom w:val="0"/>
          <w:divBdr>
            <w:top w:val="none" w:sz="0" w:space="0" w:color="auto"/>
            <w:left w:val="none" w:sz="0" w:space="0" w:color="auto"/>
            <w:bottom w:val="none" w:sz="0" w:space="0" w:color="auto"/>
            <w:right w:val="none" w:sz="0" w:space="0" w:color="auto"/>
          </w:divBdr>
        </w:div>
        <w:div w:id="538709367">
          <w:marLeft w:val="562"/>
          <w:marRight w:val="0"/>
          <w:marTop w:val="0"/>
          <w:marBottom w:val="0"/>
          <w:divBdr>
            <w:top w:val="none" w:sz="0" w:space="0" w:color="auto"/>
            <w:left w:val="none" w:sz="0" w:space="0" w:color="auto"/>
            <w:bottom w:val="none" w:sz="0" w:space="0" w:color="auto"/>
            <w:right w:val="none" w:sz="0" w:space="0" w:color="auto"/>
          </w:divBdr>
        </w:div>
        <w:div w:id="990329468">
          <w:marLeft w:val="288"/>
          <w:marRight w:val="0"/>
          <w:marTop w:val="0"/>
          <w:marBottom w:val="0"/>
          <w:divBdr>
            <w:top w:val="none" w:sz="0" w:space="0" w:color="auto"/>
            <w:left w:val="none" w:sz="0" w:space="0" w:color="auto"/>
            <w:bottom w:val="none" w:sz="0" w:space="0" w:color="auto"/>
            <w:right w:val="none" w:sz="0" w:space="0" w:color="auto"/>
          </w:divBdr>
        </w:div>
        <w:div w:id="1042558984">
          <w:marLeft w:val="562"/>
          <w:marRight w:val="0"/>
          <w:marTop w:val="0"/>
          <w:marBottom w:val="0"/>
          <w:divBdr>
            <w:top w:val="none" w:sz="0" w:space="0" w:color="auto"/>
            <w:left w:val="none" w:sz="0" w:space="0" w:color="auto"/>
            <w:bottom w:val="none" w:sz="0" w:space="0" w:color="auto"/>
            <w:right w:val="none" w:sz="0" w:space="0" w:color="auto"/>
          </w:divBdr>
        </w:div>
        <w:div w:id="554239956">
          <w:marLeft w:val="562"/>
          <w:marRight w:val="0"/>
          <w:marTop w:val="0"/>
          <w:marBottom w:val="0"/>
          <w:divBdr>
            <w:top w:val="none" w:sz="0" w:space="0" w:color="auto"/>
            <w:left w:val="none" w:sz="0" w:space="0" w:color="auto"/>
            <w:bottom w:val="none" w:sz="0" w:space="0" w:color="auto"/>
            <w:right w:val="none" w:sz="0" w:space="0" w:color="auto"/>
          </w:divBdr>
        </w:div>
        <w:div w:id="1404446091">
          <w:marLeft w:val="562"/>
          <w:marRight w:val="0"/>
          <w:marTop w:val="0"/>
          <w:marBottom w:val="0"/>
          <w:divBdr>
            <w:top w:val="none" w:sz="0" w:space="0" w:color="auto"/>
            <w:left w:val="none" w:sz="0" w:space="0" w:color="auto"/>
            <w:bottom w:val="none" w:sz="0" w:space="0" w:color="auto"/>
            <w:right w:val="none" w:sz="0" w:space="0" w:color="auto"/>
          </w:divBdr>
        </w:div>
        <w:div w:id="1647860151">
          <w:marLeft w:val="288"/>
          <w:marRight w:val="0"/>
          <w:marTop w:val="0"/>
          <w:marBottom w:val="0"/>
          <w:divBdr>
            <w:top w:val="none" w:sz="0" w:space="0" w:color="auto"/>
            <w:left w:val="none" w:sz="0" w:space="0" w:color="auto"/>
            <w:bottom w:val="none" w:sz="0" w:space="0" w:color="auto"/>
            <w:right w:val="none" w:sz="0" w:space="0" w:color="auto"/>
          </w:divBdr>
        </w:div>
        <w:div w:id="850335575">
          <w:marLeft w:val="648"/>
          <w:marRight w:val="0"/>
          <w:marTop w:val="0"/>
          <w:marBottom w:val="0"/>
          <w:divBdr>
            <w:top w:val="none" w:sz="0" w:space="0" w:color="auto"/>
            <w:left w:val="none" w:sz="0" w:space="0" w:color="auto"/>
            <w:bottom w:val="none" w:sz="0" w:space="0" w:color="auto"/>
            <w:right w:val="none" w:sz="0" w:space="0" w:color="auto"/>
          </w:divBdr>
        </w:div>
        <w:div w:id="1842772685">
          <w:marLeft w:val="648"/>
          <w:marRight w:val="0"/>
          <w:marTop w:val="0"/>
          <w:marBottom w:val="0"/>
          <w:divBdr>
            <w:top w:val="none" w:sz="0" w:space="0" w:color="auto"/>
            <w:left w:val="none" w:sz="0" w:space="0" w:color="auto"/>
            <w:bottom w:val="none" w:sz="0" w:space="0" w:color="auto"/>
            <w:right w:val="none" w:sz="0" w:space="0" w:color="auto"/>
          </w:divBdr>
        </w:div>
      </w:divsChild>
    </w:div>
    <w:div w:id="773670930">
      <w:bodyDiv w:val="1"/>
      <w:marLeft w:val="0"/>
      <w:marRight w:val="0"/>
      <w:marTop w:val="0"/>
      <w:marBottom w:val="0"/>
      <w:divBdr>
        <w:top w:val="none" w:sz="0" w:space="0" w:color="auto"/>
        <w:left w:val="none" w:sz="0" w:space="0" w:color="auto"/>
        <w:bottom w:val="none" w:sz="0" w:space="0" w:color="auto"/>
        <w:right w:val="none" w:sz="0" w:space="0" w:color="auto"/>
      </w:divBdr>
      <w:divsChild>
        <w:div w:id="1082992557">
          <w:marLeft w:val="562"/>
          <w:marRight w:val="0"/>
          <w:marTop w:val="0"/>
          <w:marBottom w:val="60"/>
          <w:divBdr>
            <w:top w:val="none" w:sz="0" w:space="0" w:color="auto"/>
            <w:left w:val="none" w:sz="0" w:space="0" w:color="auto"/>
            <w:bottom w:val="none" w:sz="0" w:space="0" w:color="auto"/>
            <w:right w:val="none" w:sz="0" w:space="0" w:color="auto"/>
          </w:divBdr>
        </w:div>
        <w:div w:id="1097749176">
          <w:marLeft w:val="562"/>
          <w:marRight w:val="0"/>
          <w:marTop w:val="0"/>
          <w:marBottom w:val="60"/>
          <w:divBdr>
            <w:top w:val="none" w:sz="0" w:space="0" w:color="auto"/>
            <w:left w:val="none" w:sz="0" w:space="0" w:color="auto"/>
            <w:bottom w:val="none" w:sz="0" w:space="0" w:color="auto"/>
            <w:right w:val="none" w:sz="0" w:space="0" w:color="auto"/>
          </w:divBdr>
        </w:div>
        <w:div w:id="885332191">
          <w:marLeft w:val="562"/>
          <w:marRight w:val="0"/>
          <w:marTop w:val="0"/>
          <w:marBottom w:val="60"/>
          <w:divBdr>
            <w:top w:val="none" w:sz="0" w:space="0" w:color="auto"/>
            <w:left w:val="none" w:sz="0" w:space="0" w:color="auto"/>
            <w:bottom w:val="none" w:sz="0" w:space="0" w:color="auto"/>
            <w:right w:val="none" w:sz="0" w:space="0" w:color="auto"/>
          </w:divBdr>
        </w:div>
      </w:divsChild>
    </w:div>
    <w:div w:id="796679131">
      <w:bodyDiv w:val="1"/>
      <w:marLeft w:val="0"/>
      <w:marRight w:val="0"/>
      <w:marTop w:val="0"/>
      <w:marBottom w:val="0"/>
      <w:divBdr>
        <w:top w:val="none" w:sz="0" w:space="0" w:color="auto"/>
        <w:left w:val="none" w:sz="0" w:space="0" w:color="auto"/>
        <w:bottom w:val="none" w:sz="0" w:space="0" w:color="auto"/>
        <w:right w:val="none" w:sz="0" w:space="0" w:color="auto"/>
      </w:divBdr>
    </w:div>
    <w:div w:id="919027808">
      <w:bodyDiv w:val="1"/>
      <w:marLeft w:val="0"/>
      <w:marRight w:val="0"/>
      <w:marTop w:val="0"/>
      <w:marBottom w:val="0"/>
      <w:divBdr>
        <w:top w:val="none" w:sz="0" w:space="0" w:color="auto"/>
        <w:left w:val="none" w:sz="0" w:space="0" w:color="auto"/>
        <w:bottom w:val="none" w:sz="0" w:space="0" w:color="auto"/>
        <w:right w:val="none" w:sz="0" w:space="0" w:color="auto"/>
      </w:divBdr>
      <w:divsChild>
        <w:div w:id="634994818">
          <w:marLeft w:val="1166"/>
          <w:marRight w:val="0"/>
          <w:marTop w:val="72"/>
          <w:marBottom w:val="0"/>
          <w:divBdr>
            <w:top w:val="none" w:sz="0" w:space="0" w:color="auto"/>
            <w:left w:val="none" w:sz="0" w:space="0" w:color="auto"/>
            <w:bottom w:val="none" w:sz="0" w:space="0" w:color="auto"/>
            <w:right w:val="none" w:sz="0" w:space="0" w:color="auto"/>
          </w:divBdr>
        </w:div>
        <w:div w:id="971057733">
          <w:marLeft w:val="1166"/>
          <w:marRight w:val="0"/>
          <w:marTop w:val="72"/>
          <w:marBottom w:val="0"/>
          <w:divBdr>
            <w:top w:val="none" w:sz="0" w:space="0" w:color="auto"/>
            <w:left w:val="none" w:sz="0" w:space="0" w:color="auto"/>
            <w:bottom w:val="none" w:sz="0" w:space="0" w:color="auto"/>
            <w:right w:val="none" w:sz="0" w:space="0" w:color="auto"/>
          </w:divBdr>
        </w:div>
      </w:divsChild>
    </w:div>
    <w:div w:id="929391814">
      <w:bodyDiv w:val="1"/>
      <w:marLeft w:val="0"/>
      <w:marRight w:val="0"/>
      <w:marTop w:val="0"/>
      <w:marBottom w:val="0"/>
      <w:divBdr>
        <w:top w:val="none" w:sz="0" w:space="0" w:color="auto"/>
        <w:left w:val="none" w:sz="0" w:space="0" w:color="auto"/>
        <w:bottom w:val="none" w:sz="0" w:space="0" w:color="auto"/>
        <w:right w:val="none" w:sz="0" w:space="0" w:color="auto"/>
      </w:divBdr>
    </w:div>
    <w:div w:id="944583096">
      <w:bodyDiv w:val="1"/>
      <w:marLeft w:val="0"/>
      <w:marRight w:val="0"/>
      <w:marTop w:val="0"/>
      <w:marBottom w:val="0"/>
      <w:divBdr>
        <w:top w:val="none" w:sz="0" w:space="0" w:color="auto"/>
        <w:left w:val="none" w:sz="0" w:space="0" w:color="auto"/>
        <w:bottom w:val="none" w:sz="0" w:space="0" w:color="auto"/>
        <w:right w:val="none" w:sz="0" w:space="0" w:color="auto"/>
      </w:divBdr>
      <w:divsChild>
        <w:div w:id="32508476">
          <w:marLeft w:val="1166"/>
          <w:marRight w:val="0"/>
          <w:marTop w:val="96"/>
          <w:marBottom w:val="0"/>
          <w:divBdr>
            <w:top w:val="none" w:sz="0" w:space="0" w:color="auto"/>
            <w:left w:val="none" w:sz="0" w:space="0" w:color="auto"/>
            <w:bottom w:val="none" w:sz="0" w:space="0" w:color="auto"/>
            <w:right w:val="none" w:sz="0" w:space="0" w:color="auto"/>
          </w:divBdr>
        </w:div>
      </w:divsChild>
    </w:div>
    <w:div w:id="995037326">
      <w:bodyDiv w:val="1"/>
      <w:marLeft w:val="0"/>
      <w:marRight w:val="0"/>
      <w:marTop w:val="0"/>
      <w:marBottom w:val="0"/>
      <w:divBdr>
        <w:top w:val="none" w:sz="0" w:space="0" w:color="auto"/>
        <w:left w:val="none" w:sz="0" w:space="0" w:color="auto"/>
        <w:bottom w:val="none" w:sz="0" w:space="0" w:color="auto"/>
        <w:right w:val="none" w:sz="0" w:space="0" w:color="auto"/>
      </w:divBdr>
    </w:div>
    <w:div w:id="1035540815">
      <w:bodyDiv w:val="1"/>
      <w:marLeft w:val="0"/>
      <w:marRight w:val="0"/>
      <w:marTop w:val="0"/>
      <w:marBottom w:val="0"/>
      <w:divBdr>
        <w:top w:val="none" w:sz="0" w:space="0" w:color="auto"/>
        <w:left w:val="none" w:sz="0" w:space="0" w:color="auto"/>
        <w:bottom w:val="none" w:sz="0" w:space="0" w:color="auto"/>
        <w:right w:val="none" w:sz="0" w:space="0" w:color="auto"/>
      </w:divBdr>
    </w:div>
    <w:div w:id="1088234614">
      <w:bodyDiv w:val="1"/>
      <w:marLeft w:val="0"/>
      <w:marRight w:val="0"/>
      <w:marTop w:val="0"/>
      <w:marBottom w:val="0"/>
      <w:divBdr>
        <w:top w:val="none" w:sz="0" w:space="0" w:color="auto"/>
        <w:left w:val="none" w:sz="0" w:space="0" w:color="auto"/>
        <w:bottom w:val="none" w:sz="0" w:space="0" w:color="auto"/>
        <w:right w:val="none" w:sz="0" w:space="0" w:color="auto"/>
      </w:divBdr>
      <w:divsChild>
        <w:div w:id="845706597">
          <w:marLeft w:val="1166"/>
          <w:marRight w:val="0"/>
          <w:marTop w:val="115"/>
          <w:marBottom w:val="0"/>
          <w:divBdr>
            <w:top w:val="none" w:sz="0" w:space="0" w:color="auto"/>
            <w:left w:val="none" w:sz="0" w:space="0" w:color="auto"/>
            <w:bottom w:val="none" w:sz="0" w:space="0" w:color="auto"/>
            <w:right w:val="none" w:sz="0" w:space="0" w:color="auto"/>
          </w:divBdr>
        </w:div>
      </w:divsChild>
    </w:div>
    <w:div w:id="1118262244">
      <w:bodyDiv w:val="1"/>
      <w:marLeft w:val="0"/>
      <w:marRight w:val="0"/>
      <w:marTop w:val="0"/>
      <w:marBottom w:val="0"/>
      <w:divBdr>
        <w:top w:val="none" w:sz="0" w:space="0" w:color="auto"/>
        <w:left w:val="none" w:sz="0" w:space="0" w:color="auto"/>
        <w:bottom w:val="none" w:sz="0" w:space="0" w:color="auto"/>
        <w:right w:val="none" w:sz="0" w:space="0" w:color="auto"/>
      </w:divBdr>
    </w:div>
    <w:div w:id="1130441070">
      <w:bodyDiv w:val="1"/>
      <w:marLeft w:val="0"/>
      <w:marRight w:val="0"/>
      <w:marTop w:val="0"/>
      <w:marBottom w:val="0"/>
      <w:divBdr>
        <w:top w:val="none" w:sz="0" w:space="0" w:color="auto"/>
        <w:left w:val="none" w:sz="0" w:space="0" w:color="auto"/>
        <w:bottom w:val="none" w:sz="0" w:space="0" w:color="auto"/>
        <w:right w:val="none" w:sz="0" w:space="0" w:color="auto"/>
      </w:divBdr>
    </w:div>
    <w:div w:id="1131484857">
      <w:bodyDiv w:val="1"/>
      <w:marLeft w:val="0"/>
      <w:marRight w:val="0"/>
      <w:marTop w:val="0"/>
      <w:marBottom w:val="0"/>
      <w:divBdr>
        <w:top w:val="none" w:sz="0" w:space="0" w:color="auto"/>
        <w:left w:val="none" w:sz="0" w:space="0" w:color="auto"/>
        <w:bottom w:val="none" w:sz="0" w:space="0" w:color="auto"/>
        <w:right w:val="none" w:sz="0" w:space="0" w:color="auto"/>
      </w:divBdr>
      <w:divsChild>
        <w:div w:id="384109751">
          <w:marLeft w:val="979"/>
          <w:marRight w:val="0"/>
          <w:marTop w:val="0"/>
          <w:marBottom w:val="80"/>
          <w:divBdr>
            <w:top w:val="none" w:sz="0" w:space="0" w:color="auto"/>
            <w:left w:val="none" w:sz="0" w:space="0" w:color="auto"/>
            <w:bottom w:val="none" w:sz="0" w:space="0" w:color="auto"/>
            <w:right w:val="none" w:sz="0" w:space="0" w:color="auto"/>
          </w:divBdr>
        </w:div>
      </w:divsChild>
    </w:div>
    <w:div w:id="1202326762">
      <w:bodyDiv w:val="1"/>
      <w:marLeft w:val="0"/>
      <w:marRight w:val="0"/>
      <w:marTop w:val="0"/>
      <w:marBottom w:val="0"/>
      <w:divBdr>
        <w:top w:val="none" w:sz="0" w:space="0" w:color="auto"/>
        <w:left w:val="none" w:sz="0" w:space="0" w:color="auto"/>
        <w:bottom w:val="none" w:sz="0" w:space="0" w:color="auto"/>
        <w:right w:val="none" w:sz="0" w:space="0" w:color="auto"/>
      </w:divBdr>
      <w:divsChild>
        <w:div w:id="1480027979">
          <w:marLeft w:val="706"/>
          <w:marRight w:val="0"/>
          <w:marTop w:val="0"/>
          <w:marBottom w:val="60"/>
          <w:divBdr>
            <w:top w:val="none" w:sz="0" w:space="0" w:color="auto"/>
            <w:left w:val="none" w:sz="0" w:space="0" w:color="auto"/>
            <w:bottom w:val="none" w:sz="0" w:space="0" w:color="auto"/>
            <w:right w:val="none" w:sz="0" w:space="0" w:color="auto"/>
          </w:divBdr>
        </w:div>
      </w:divsChild>
    </w:div>
    <w:div w:id="1297906220">
      <w:bodyDiv w:val="1"/>
      <w:marLeft w:val="0"/>
      <w:marRight w:val="0"/>
      <w:marTop w:val="0"/>
      <w:marBottom w:val="0"/>
      <w:divBdr>
        <w:top w:val="none" w:sz="0" w:space="0" w:color="auto"/>
        <w:left w:val="none" w:sz="0" w:space="0" w:color="auto"/>
        <w:bottom w:val="none" w:sz="0" w:space="0" w:color="auto"/>
        <w:right w:val="none" w:sz="0" w:space="0" w:color="auto"/>
      </w:divBdr>
      <w:divsChild>
        <w:div w:id="644630677">
          <w:marLeft w:val="288"/>
          <w:marRight w:val="0"/>
          <w:marTop w:val="0"/>
          <w:marBottom w:val="0"/>
          <w:divBdr>
            <w:top w:val="none" w:sz="0" w:space="0" w:color="auto"/>
            <w:left w:val="none" w:sz="0" w:space="0" w:color="auto"/>
            <w:bottom w:val="none" w:sz="0" w:space="0" w:color="auto"/>
            <w:right w:val="none" w:sz="0" w:space="0" w:color="auto"/>
          </w:divBdr>
        </w:div>
        <w:div w:id="1727144467">
          <w:marLeft w:val="562"/>
          <w:marRight w:val="0"/>
          <w:marTop w:val="0"/>
          <w:marBottom w:val="0"/>
          <w:divBdr>
            <w:top w:val="none" w:sz="0" w:space="0" w:color="auto"/>
            <w:left w:val="none" w:sz="0" w:space="0" w:color="auto"/>
            <w:bottom w:val="none" w:sz="0" w:space="0" w:color="auto"/>
            <w:right w:val="none" w:sz="0" w:space="0" w:color="auto"/>
          </w:divBdr>
        </w:div>
        <w:div w:id="352850154">
          <w:marLeft w:val="562"/>
          <w:marRight w:val="0"/>
          <w:marTop w:val="0"/>
          <w:marBottom w:val="0"/>
          <w:divBdr>
            <w:top w:val="none" w:sz="0" w:space="0" w:color="auto"/>
            <w:left w:val="none" w:sz="0" w:space="0" w:color="auto"/>
            <w:bottom w:val="none" w:sz="0" w:space="0" w:color="auto"/>
            <w:right w:val="none" w:sz="0" w:space="0" w:color="auto"/>
          </w:divBdr>
        </w:div>
        <w:div w:id="2080056428">
          <w:marLeft w:val="562"/>
          <w:marRight w:val="0"/>
          <w:marTop w:val="0"/>
          <w:marBottom w:val="0"/>
          <w:divBdr>
            <w:top w:val="none" w:sz="0" w:space="0" w:color="auto"/>
            <w:left w:val="none" w:sz="0" w:space="0" w:color="auto"/>
            <w:bottom w:val="none" w:sz="0" w:space="0" w:color="auto"/>
            <w:right w:val="none" w:sz="0" w:space="0" w:color="auto"/>
          </w:divBdr>
        </w:div>
        <w:div w:id="548733373">
          <w:marLeft w:val="562"/>
          <w:marRight w:val="0"/>
          <w:marTop w:val="0"/>
          <w:marBottom w:val="0"/>
          <w:divBdr>
            <w:top w:val="none" w:sz="0" w:space="0" w:color="auto"/>
            <w:left w:val="none" w:sz="0" w:space="0" w:color="auto"/>
            <w:bottom w:val="none" w:sz="0" w:space="0" w:color="auto"/>
            <w:right w:val="none" w:sz="0" w:space="0" w:color="auto"/>
          </w:divBdr>
        </w:div>
        <w:div w:id="1045986336">
          <w:marLeft w:val="288"/>
          <w:marRight w:val="0"/>
          <w:marTop w:val="0"/>
          <w:marBottom w:val="0"/>
          <w:divBdr>
            <w:top w:val="none" w:sz="0" w:space="0" w:color="auto"/>
            <w:left w:val="none" w:sz="0" w:space="0" w:color="auto"/>
            <w:bottom w:val="none" w:sz="0" w:space="0" w:color="auto"/>
            <w:right w:val="none" w:sz="0" w:space="0" w:color="auto"/>
          </w:divBdr>
        </w:div>
        <w:div w:id="1022245850">
          <w:marLeft w:val="562"/>
          <w:marRight w:val="0"/>
          <w:marTop w:val="0"/>
          <w:marBottom w:val="0"/>
          <w:divBdr>
            <w:top w:val="none" w:sz="0" w:space="0" w:color="auto"/>
            <w:left w:val="none" w:sz="0" w:space="0" w:color="auto"/>
            <w:bottom w:val="none" w:sz="0" w:space="0" w:color="auto"/>
            <w:right w:val="none" w:sz="0" w:space="0" w:color="auto"/>
          </w:divBdr>
        </w:div>
        <w:div w:id="1638417271">
          <w:marLeft w:val="562"/>
          <w:marRight w:val="0"/>
          <w:marTop w:val="0"/>
          <w:marBottom w:val="0"/>
          <w:divBdr>
            <w:top w:val="none" w:sz="0" w:space="0" w:color="auto"/>
            <w:left w:val="none" w:sz="0" w:space="0" w:color="auto"/>
            <w:bottom w:val="none" w:sz="0" w:space="0" w:color="auto"/>
            <w:right w:val="none" w:sz="0" w:space="0" w:color="auto"/>
          </w:divBdr>
        </w:div>
        <w:div w:id="1525484685">
          <w:marLeft w:val="288"/>
          <w:marRight w:val="0"/>
          <w:marTop w:val="0"/>
          <w:marBottom w:val="0"/>
          <w:divBdr>
            <w:top w:val="none" w:sz="0" w:space="0" w:color="auto"/>
            <w:left w:val="none" w:sz="0" w:space="0" w:color="auto"/>
            <w:bottom w:val="none" w:sz="0" w:space="0" w:color="auto"/>
            <w:right w:val="none" w:sz="0" w:space="0" w:color="auto"/>
          </w:divBdr>
        </w:div>
        <w:div w:id="1420520123">
          <w:marLeft w:val="562"/>
          <w:marRight w:val="0"/>
          <w:marTop w:val="0"/>
          <w:marBottom w:val="0"/>
          <w:divBdr>
            <w:top w:val="none" w:sz="0" w:space="0" w:color="auto"/>
            <w:left w:val="none" w:sz="0" w:space="0" w:color="auto"/>
            <w:bottom w:val="none" w:sz="0" w:space="0" w:color="auto"/>
            <w:right w:val="none" w:sz="0" w:space="0" w:color="auto"/>
          </w:divBdr>
        </w:div>
        <w:div w:id="1899782633">
          <w:marLeft w:val="562"/>
          <w:marRight w:val="0"/>
          <w:marTop w:val="0"/>
          <w:marBottom w:val="0"/>
          <w:divBdr>
            <w:top w:val="none" w:sz="0" w:space="0" w:color="auto"/>
            <w:left w:val="none" w:sz="0" w:space="0" w:color="auto"/>
            <w:bottom w:val="none" w:sz="0" w:space="0" w:color="auto"/>
            <w:right w:val="none" w:sz="0" w:space="0" w:color="auto"/>
          </w:divBdr>
        </w:div>
        <w:div w:id="790439394">
          <w:marLeft w:val="562"/>
          <w:marRight w:val="0"/>
          <w:marTop w:val="0"/>
          <w:marBottom w:val="0"/>
          <w:divBdr>
            <w:top w:val="none" w:sz="0" w:space="0" w:color="auto"/>
            <w:left w:val="none" w:sz="0" w:space="0" w:color="auto"/>
            <w:bottom w:val="none" w:sz="0" w:space="0" w:color="auto"/>
            <w:right w:val="none" w:sz="0" w:space="0" w:color="auto"/>
          </w:divBdr>
        </w:div>
        <w:div w:id="2086953951">
          <w:marLeft w:val="562"/>
          <w:marRight w:val="0"/>
          <w:marTop w:val="0"/>
          <w:marBottom w:val="0"/>
          <w:divBdr>
            <w:top w:val="none" w:sz="0" w:space="0" w:color="auto"/>
            <w:left w:val="none" w:sz="0" w:space="0" w:color="auto"/>
            <w:bottom w:val="none" w:sz="0" w:space="0" w:color="auto"/>
            <w:right w:val="none" w:sz="0" w:space="0" w:color="auto"/>
          </w:divBdr>
        </w:div>
        <w:div w:id="2018457838">
          <w:marLeft w:val="922"/>
          <w:marRight w:val="0"/>
          <w:marTop w:val="0"/>
          <w:marBottom w:val="0"/>
          <w:divBdr>
            <w:top w:val="none" w:sz="0" w:space="0" w:color="auto"/>
            <w:left w:val="none" w:sz="0" w:space="0" w:color="auto"/>
            <w:bottom w:val="none" w:sz="0" w:space="0" w:color="auto"/>
            <w:right w:val="none" w:sz="0" w:space="0" w:color="auto"/>
          </w:divBdr>
        </w:div>
        <w:div w:id="1186092915">
          <w:marLeft w:val="922"/>
          <w:marRight w:val="0"/>
          <w:marTop w:val="0"/>
          <w:marBottom w:val="0"/>
          <w:divBdr>
            <w:top w:val="none" w:sz="0" w:space="0" w:color="auto"/>
            <w:left w:val="none" w:sz="0" w:space="0" w:color="auto"/>
            <w:bottom w:val="none" w:sz="0" w:space="0" w:color="auto"/>
            <w:right w:val="none" w:sz="0" w:space="0" w:color="auto"/>
          </w:divBdr>
        </w:div>
        <w:div w:id="1514415258">
          <w:marLeft w:val="562"/>
          <w:marRight w:val="0"/>
          <w:marTop w:val="0"/>
          <w:marBottom w:val="0"/>
          <w:divBdr>
            <w:top w:val="none" w:sz="0" w:space="0" w:color="auto"/>
            <w:left w:val="none" w:sz="0" w:space="0" w:color="auto"/>
            <w:bottom w:val="none" w:sz="0" w:space="0" w:color="auto"/>
            <w:right w:val="none" w:sz="0" w:space="0" w:color="auto"/>
          </w:divBdr>
        </w:div>
      </w:divsChild>
    </w:div>
    <w:div w:id="1385832932">
      <w:bodyDiv w:val="1"/>
      <w:marLeft w:val="0"/>
      <w:marRight w:val="0"/>
      <w:marTop w:val="0"/>
      <w:marBottom w:val="0"/>
      <w:divBdr>
        <w:top w:val="none" w:sz="0" w:space="0" w:color="auto"/>
        <w:left w:val="none" w:sz="0" w:space="0" w:color="auto"/>
        <w:bottom w:val="none" w:sz="0" w:space="0" w:color="auto"/>
        <w:right w:val="none" w:sz="0" w:space="0" w:color="auto"/>
      </w:divBdr>
      <w:divsChild>
        <w:div w:id="1680886046">
          <w:marLeft w:val="288"/>
          <w:marRight w:val="0"/>
          <w:marTop w:val="0"/>
          <w:marBottom w:val="0"/>
          <w:divBdr>
            <w:top w:val="none" w:sz="0" w:space="0" w:color="auto"/>
            <w:left w:val="none" w:sz="0" w:space="0" w:color="auto"/>
            <w:bottom w:val="none" w:sz="0" w:space="0" w:color="auto"/>
            <w:right w:val="none" w:sz="0" w:space="0" w:color="auto"/>
          </w:divBdr>
        </w:div>
        <w:div w:id="35862632">
          <w:marLeft w:val="562"/>
          <w:marRight w:val="0"/>
          <w:marTop w:val="0"/>
          <w:marBottom w:val="0"/>
          <w:divBdr>
            <w:top w:val="none" w:sz="0" w:space="0" w:color="auto"/>
            <w:left w:val="none" w:sz="0" w:space="0" w:color="auto"/>
            <w:bottom w:val="none" w:sz="0" w:space="0" w:color="auto"/>
            <w:right w:val="none" w:sz="0" w:space="0" w:color="auto"/>
          </w:divBdr>
        </w:div>
        <w:div w:id="1460108965">
          <w:marLeft w:val="288"/>
          <w:marRight w:val="0"/>
          <w:marTop w:val="0"/>
          <w:marBottom w:val="0"/>
          <w:divBdr>
            <w:top w:val="none" w:sz="0" w:space="0" w:color="auto"/>
            <w:left w:val="none" w:sz="0" w:space="0" w:color="auto"/>
            <w:bottom w:val="none" w:sz="0" w:space="0" w:color="auto"/>
            <w:right w:val="none" w:sz="0" w:space="0" w:color="auto"/>
          </w:divBdr>
        </w:div>
        <w:div w:id="474878901">
          <w:marLeft w:val="562"/>
          <w:marRight w:val="0"/>
          <w:marTop w:val="0"/>
          <w:marBottom w:val="0"/>
          <w:divBdr>
            <w:top w:val="none" w:sz="0" w:space="0" w:color="auto"/>
            <w:left w:val="none" w:sz="0" w:space="0" w:color="auto"/>
            <w:bottom w:val="none" w:sz="0" w:space="0" w:color="auto"/>
            <w:right w:val="none" w:sz="0" w:space="0" w:color="auto"/>
          </w:divBdr>
        </w:div>
        <w:div w:id="829365807">
          <w:marLeft w:val="274"/>
          <w:marRight w:val="0"/>
          <w:marTop w:val="0"/>
          <w:marBottom w:val="0"/>
          <w:divBdr>
            <w:top w:val="none" w:sz="0" w:space="0" w:color="auto"/>
            <w:left w:val="none" w:sz="0" w:space="0" w:color="auto"/>
            <w:bottom w:val="none" w:sz="0" w:space="0" w:color="auto"/>
            <w:right w:val="none" w:sz="0" w:space="0" w:color="auto"/>
          </w:divBdr>
        </w:div>
        <w:div w:id="609777268">
          <w:marLeft w:val="562"/>
          <w:marRight w:val="0"/>
          <w:marTop w:val="0"/>
          <w:marBottom w:val="0"/>
          <w:divBdr>
            <w:top w:val="none" w:sz="0" w:space="0" w:color="auto"/>
            <w:left w:val="none" w:sz="0" w:space="0" w:color="auto"/>
            <w:bottom w:val="none" w:sz="0" w:space="0" w:color="auto"/>
            <w:right w:val="none" w:sz="0" w:space="0" w:color="auto"/>
          </w:divBdr>
        </w:div>
        <w:div w:id="1766921374">
          <w:marLeft w:val="922"/>
          <w:marRight w:val="0"/>
          <w:marTop w:val="0"/>
          <w:marBottom w:val="0"/>
          <w:divBdr>
            <w:top w:val="none" w:sz="0" w:space="0" w:color="auto"/>
            <w:left w:val="none" w:sz="0" w:space="0" w:color="auto"/>
            <w:bottom w:val="none" w:sz="0" w:space="0" w:color="auto"/>
            <w:right w:val="none" w:sz="0" w:space="0" w:color="auto"/>
          </w:divBdr>
        </w:div>
        <w:div w:id="642081484">
          <w:marLeft w:val="922"/>
          <w:marRight w:val="0"/>
          <w:marTop w:val="0"/>
          <w:marBottom w:val="0"/>
          <w:divBdr>
            <w:top w:val="none" w:sz="0" w:space="0" w:color="auto"/>
            <w:left w:val="none" w:sz="0" w:space="0" w:color="auto"/>
            <w:bottom w:val="none" w:sz="0" w:space="0" w:color="auto"/>
            <w:right w:val="none" w:sz="0" w:space="0" w:color="auto"/>
          </w:divBdr>
        </w:div>
        <w:div w:id="1647514988">
          <w:marLeft w:val="922"/>
          <w:marRight w:val="0"/>
          <w:marTop w:val="0"/>
          <w:marBottom w:val="0"/>
          <w:divBdr>
            <w:top w:val="none" w:sz="0" w:space="0" w:color="auto"/>
            <w:left w:val="none" w:sz="0" w:space="0" w:color="auto"/>
            <w:bottom w:val="none" w:sz="0" w:space="0" w:color="auto"/>
            <w:right w:val="none" w:sz="0" w:space="0" w:color="auto"/>
          </w:divBdr>
        </w:div>
        <w:div w:id="1951010218">
          <w:marLeft w:val="922"/>
          <w:marRight w:val="0"/>
          <w:marTop w:val="0"/>
          <w:marBottom w:val="0"/>
          <w:divBdr>
            <w:top w:val="none" w:sz="0" w:space="0" w:color="auto"/>
            <w:left w:val="none" w:sz="0" w:space="0" w:color="auto"/>
            <w:bottom w:val="none" w:sz="0" w:space="0" w:color="auto"/>
            <w:right w:val="none" w:sz="0" w:space="0" w:color="auto"/>
          </w:divBdr>
        </w:div>
        <w:div w:id="1511797878">
          <w:marLeft w:val="562"/>
          <w:marRight w:val="0"/>
          <w:marTop w:val="0"/>
          <w:marBottom w:val="0"/>
          <w:divBdr>
            <w:top w:val="none" w:sz="0" w:space="0" w:color="auto"/>
            <w:left w:val="none" w:sz="0" w:space="0" w:color="auto"/>
            <w:bottom w:val="none" w:sz="0" w:space="0" w:color="auto"/>
            <w:right w:val="none" w:sz="0" w:space="0" w:color="auto"/>
          </w:divBdr>
        </w:div>
        <w:div w:id="1400712529">
          <w:marLeft w:val="562"/>
          <w:marRight w:val="0"/>
          <w:marTop w:val="0"/>
          <w:marBottom w:val="0"/>
          <w:divBdr>
            <w:top w:val="none" w:sz="0" w:space="0" w:color="auto"/>
            <w:left w:val="none" w:sz="0" w:space="0" w:color="auto"/>
            <w:bottom w:val="none" w:sz="0" w:space="0" w:color="auto"/>
            <w:right w:val="none" w:sz="0" w:space="0" w:color="auto"/>
          </w:divBdr>
        </w:div>
        <w:div w:id="1658537391">
          <w:marLeft w:val="562"/>
          <w:marRight w:val="0"/>
          <w:marTop w:val="0"/>
          <w:marBottom w:val="0"/>
          <w:divBdr>
            <w:top w:val="none" w:sz="0" w:space="0" w:color="auto"/>
            <w:left w:val="none" w:sz="0" w:space="0" w:color="auto"/>
            <w:bottom w:val="none" w:sz="0" w:space="0" w:color="auto"/>
            <w:right w:val="none" w:sz="0" w:space="0" w:color="auto"/>
          </w:divBdr>
        </w:div>
        <w:div w:id="2111853770">
          <w:marLeft w:val="274"/>
          <w:marRight w:val="0"/>
          <w:marTop w:val="0"/>
          <w:marBottom w:val="0"/>
          <w:divBdr>
            <w:top w:val="none" w:sz="0" w:space="0" w:color="auto"/>
            <w:left w:val="none" w:sz="0" w:space="0" w:color="auto"/>
            <w:bottom w:val="none" w:sz="0" w:space="0" w:color="auto"/>
            <w:right w:val="none" w:sz="0" w:space="0" w:color="auto"/>
          </w:divBdr>
        </w:div>
        <w:div w:id="828441065">
          <w:marLeft w:val="562"/>
          <w:marRight w:val="0"/>
          <w:marTop w:val="0"/>
          <w:marBottom w:val="0"/>
          <w:divBdr>
            <w:top w:val="none" w:sz="0" w:space="0" w:color="auto"/>
            <w:left w:val="none" w:sz="0" w:space="0" w:color="auto"/>
            <w:bottom w:val="none" w:sz="0" w:space="0" w:color="auto"/>
            <w:right w:val="none" w:sz="0" w:space="0" w:color="auto"/>
          </w:divBdr>
        </w:div>
        <w:div w:id="1194415578">
          <w:marLeft w:val="562"/>
          <w:marRight w:val="0"/>
          <w:marTop w:val="0"/>
          <w:marBottom w:val="0"/>
          <w:divBdr>
            <w:top w:val="none" w:sz="0" w:space="0" w:color="auto"/>
            <w:left w:val="none" w:sz="0" w:space="0" w:color="auto"/>
            <w:bottom w:val="none" w:sz="0" w:space="0" w:color="auto"/>
            <w:right w:val="none" w:sz="0" w:space="0" w:color="auto"/>
          </w:divBdr>
        </w:div>
        <w:div w:id="944193125">
          <w:marLeft w:val="562"/>
          <w:marRight w:val="0"/>
          <w:marTop w:val="0"/>
          <w:marBottom w:val="0"/>
          <w:divBdr>
            <w:top w:val="none" w:sz="0" w:space="0" w:color="auto"/>
            <w:left w:val="none" w:sz="0" w:space="0" w:color="auto"/>
            <w:bottom w:val="none" w:sz="0" w:space="0" w:color="auto"/>
            <w:right w:val="none" w:sz="0" w:space="0" w:color="auto"/>
          </w:divBdr>
        </w:div>
        <w:div w:id="920875007">
          <w:marLeft w:val="274"/>
          <w:marRight w:val="0"/>
          <w:marTop w:val="0"/>
          <w:marBottom w:val="0"/>
          <w:divBdr>
            <w:top w:val="none" w:sz="0" w:space="0" w:color="auto"/>
            <w:left w:val="none" w:sz="0" w:space="0" w:color="auto"/>
            <w:bottom w:val="none" w:sz="0" w:space="0" w:color="auto"/>
            <w:right w:val="none" w:sz="0" w:space="0" w:color="auto"/>
          </w:divBdr>
        </w:div>
        <w:div w:id="323246629">
          <w:marLeft w:val="274"/>
          <w:marRight w:val="0"/>
          <w:marTop w:val="0"/>
          <w:marBottom w:val="0"/>
          <w:divBdr>
            <w:top w:val="none" w:sz="0" w:space="0" w:color="auto"/>
            <w:left w:val="none" w:sz="0" w:space="0" w:color="auto"/>
            <w:bottom w:val="none" w:sz="0" w:space="0" w:color="auto"/>
            <w:right w:val="none" w:sz="0" w:space="0" w:color="auto"/>
          </w:divBdr>
        </w:div>
      </w:divsChild>
    </w:div>
    <w:div w:id="1436097853">
      <w:bodyDiv w:val="1"/>
      <w:marLeft w:val="0"/>
      <w:marRight w:val="0"/>
      <w:marTop w:val="0"/>
      <w:marBottom w:val="0"/>
      <w:divBdr>
        <w:top w:val="none" w:sz="0" w:space="0" w:color="auto"/>
        <w:left w:val="none" w:sz="0" w:space="0" w:color="auto"/>
        <w:bottom w:val="none" w:sz="0" w:space="0" w:color="auto"/>
        <w:right w:val="none" w:sz="0" w:space="0" w:color="auto"/>
      </w:divBdr>
    </w:div>
    <w:div w:id="1439447787">
      <w:bodyDiv w:val="1"/>
      <w:marLeft w:val="0"/>
      <w:marRight w:val="0"/>
      <w:marTop w:val="0"/>
      <w:marBottom w:val="0"/>
      <w:divBdr>
        <w:top w:val="none" w:sz="0" w:space="0" w:color="auto"/>
        <w:left w:val="none" w:sz="0" w:space="0" w:color="auto"/>
        <w:bottom w:val="none" w:sz="0" w:space="0" w:color="auto"/>
        <w:right w:val="none" w:sz="0" w:space="0" w:color="auto"/>
      </w:divBdr>
      <w:divsChild>
        <w:div w:id="435902409">
          <w:marLeft w:val="1166"/>
          <w:marRight w:val="0"/>
          <w:marTop w:val="115"/>
          <w:marBottom w:val="0"/>
          <w:divBdr>
            <w:top w:val="none" w:sz="0" w:space="0" w:color="auto"/>
            <w:left w:val="none" w:sz="0" w:space="0" w:color="auto"/>
            <w:bottom w:val="none" w:sz="0" w:space="0" w:color="auto"/>
            <w:right w:val="none" w:sz="0" w:space="0" w:color="auto"/>
          </w:divBdr>
        </w:div>
      </w:divsChild>
    </w:div>
    <w:div w:id="1440028903">
      <w:bodyDiv w:val="1"/>
      <w:marLeft w:val="0"/>
      <w:marRight w:val="0"/>
      <w:marTop w:val="0"/>
      <w:marBottom w:val="0"/>
      <w:divBdr>
        <w:top w:val="none" w:sz="0" w:space="0" w:color="auto"/>
        <w:left w:val="none" w:sz="0" w:space="0" w:color="auto"/>
        <w:bottom w:val="none" w:sz="0" w:space="0" w:color="auto"/>
        <w:right w:val="none" w:sz="0" w:space="0" w:color="auto"/>
      </w:divBdr>
    </w:div>
    <w:div w:id="1454711700">
      <w:bodyDiv w:val="1"/>
      <w:marLeft w:val="0"/>
      <w:marRight w:val="0"/>
      <w:marTop w:val="0"/>
      <w:marBottom w:val="0"/>
      <w:divBdr>
        <w:top w:val="none" w:sz="0" w:space="0" w:color="auto"/>
        <w:left w:val="none" w:sz="0" w:space="0" w:color="auto"/>
        <w:bottom w:val="none" w:sz="0" w:space="0" w:color="auto"/>
        <w:right w:val="none" w:sz="0" w:space="0" w:color="auto"/>
      </w:divBdr>
    </w:div>
    <w:div w:id="1462722910">
      <w:bodyDiv w:val="1"/>
      <w:marLeft w:val="0"/>
      <w:marRight w:val="0"/>
      <w:marTop w:val="0"/>
      <w:marBottom w:val="0"/>
      <w:divBdr>
        <w:top w:val="none" w:sz="0" w:space="0" w:color="auto"/>
        <w:left w:val="none" w:sz="0" w:space="0" w:color="auto"/>
        <w:bottom w:val="none" w:sz="0" w:space="0" w:color="auto"/>
        <w:right w:val="none" w:sz="0" w:space="0" w:color="auto"/>
      </w:divBdr>
    </w:div>
    <w:div w:id="1557428406">
      <w:bodyDiv w:val="1"/>
      <w:marLeft w:val="0"/>
      <w:marRight w:val="0"/>
      <w:marTop w:val="0"/>
      <w:marBottom w:val="0"/>
      <w:divBdr>
        <w:top w:val="none" w:sz="0" w:space="0" w:color="auto"/>
        <w:left w:val="none" w:sz="0" w:space="0" w:color="auto"/>
        <w:bottom w:val="none" w:sz="0" w:space="0" w:color="auto"/>
        <w:right w:val="none" w:sz="0" w:space="0" w:color="auto"/>
      </w:divBdr>
    </w:div>
    <w:div w:id="1572424412">
      <w:bodyDiv w:val="1"/>
      <w:marLeft w:val="0"/>
      <w:marRight w:val="0"/>
      <w:marTop w:val="0"/>
      <w:marBottom w:val="0"/>
      <w:divBdr>
        <w:top w:val="none" w:sz="0" w:space="0" w:color="auto"/>
        <w:left w:val="none" w:sz="0" w:space="0" w:color="auto"/>
        <w:bottom w:val="none" w:sz="0" w:space="0" w:color="auto"/>
        <w:right w:val="none" w:sz="0" w:space="0" w:color="auto"/>
      </w:divBdr>
    </w:div>
    <w:div w:id="1587035499">
      <w:bodyDiv w:val="1"/>
      <w:marLeft w:val="0"/>
      <w:marRight w:val="0"/>
      <w:marTop w:val="0"/>
      <w:marBottom w:val="0"/>
      <w:divBdr>
        <w:top w:val="none" w:sz="0" w:space="0" w:color="auto"/>
        <w:left w:val="none" w:sz="0" w:space="0" w:color="auto"/>
        <w:bottom w:val="none" w:sz="0" w:space="0" w:color="auto"/>
        <w:right w:val="none" w:sz="0" w:space="0" w:color="auto"/>
      </w:divBdr>
    </w:div>
    <w:div w:id="1635794724">
      <w:bodyDiv w:val="1"/>
      <w:marLeft w:val="0"/>
      <w:marRight w:val="0"/>
      <w:marTop w:val="0"/>
      <w:marBottom w:val="0"/>
      <w:divBdr>
        <w:top w:val="none" w:sz="0" w:space="0" w:color="auto"/>
        <w:left w:val="none" w:sz="0" w:space="0" w:color="auto"/>
        <w:bottom w:val="none" w:sz="0" w:space="0" w:color="auto"/>
        <w:right w:val="none" w:sz="0" w:space="0" w:color="auto"/>
      </w:divBdr>
      <w:divsChild>
        <w:div w:id="2093311009">
          <w:marLeft w:val="979"/>
          <w:marRight w:val="0"/>
          <w:marTop w:val="0"/>
          <w:marBottom w:val="80"/>
          <w:divBdr>
            <w:top w:val="none" w:sz="0" w:space="0" w:color="auto"/>
            <w:left w:val="none" w:sz="0" w:space="0" w:color="auto"/>
            <w:bottom w:val="none" w:sz="0" w:space="0" w:color="auto"/>
            <w:right w:val="none" w:sz="0" w:space="0" w:color="auto"/>
          </w:divBdr>
        </w:div>
        <w:div w:id="1672563110">
          <w:marLeft w:val="979"/>
          <w:marRight w:val="0"/>
          <w:marTop w:val="0"/>
          <w:marBottom w:val="80"/>
          <w:divBdr>
            <w:top w:val="none" w:sz="0" w:space="0" w:color="auto"/>
            <w:left w:val="none" w:sz="0" w:space="0" w:color="auto"/>
            <w:bottom w:val="none" w:sz="0" w:space="0" w:color="auto"/>
            <w:right w:val="none" w:sz="0" w:space="0" w:color="auto"/>
          </w:divBdr>
        </w:div>
        <w:div w:id="1946880544">
          <w:marLeft w:val="979"/>
          <w:marRight w:val="0"/>
          <w:marTop w:val="0"/>
          <w:marBottom w:val="80"/>
          <w:divBdr>
            <w:top w:val="none" w:sz="0" w:space="0" w:color="auto"/>
            <w:left w:val="none" w:sz="0" w:space="0" w:color="auto"/>
            <w:bottom w:val="none" w:sz="0" w:space="0" w:color="auto"/>
            <w:right w:val="none" w:sz="0" w:space="0" w:color="auto"/>
          </w:divBdr>
        </w:div>
        <w:div w:id="742487782">
          <w:marLeft w:val="979"/>
          <w:marRight w:val="0"/>
          <w:marTop w:val="0"/>
          <w:marBottom w:val="80"/>
          <w:divBdr>
            <w:top w:val="none" w:sz="0" w:space="0" w:color="auto"/>
            <w:left w:val="none" w:sz="0" w:space="0" w:color="auto"/>
            <w:bottom w:val="none" w:sz="0" w:space="0" w:color="auto"/>
            <w:right w:val="none" w:sz="0" w:space="0" w:color="auto"/>
          </w:divBdr>
        </w:div>
        <w:div w:id="1314989555">
          <w:marLeft w:val="979"/>
          <w:marRight w:val="0"/>
          <w:marTop w:val="0"/>
          <w:marBottom w:val="80"/>
          <w:divBdr>
            <w:top w:val="none" w:sz="0" w:space="0" w:color="auto"/>
            <w:left w:val="none" w:sz="0" w:space="0" w:color="auto"/>
            <w:bottom w:val="none" w:sz="0" w:space="0" w:color="auto"/>
            <w:right w:val="none" w:sz="0" w:space="0" w:color="auto"/>
          </w:divBdr>
        </w:div>
      </w:divsChild>
    </w:div>
    <w:div w:id="1669215192">
      <w:bodyDiv w:val="1"/>
      <w:marLeft w:val="0"/>
      <w:marRight w:val="0"/>
      <w:marTop w:val="0"/>
      <w:marBottom w:val="0"/>
      <w:divBdr>
        <w:top w:val="none" w:sz="0" w:space="0" w:color="auto"/>
        <w:left w:val="none" w:sz="0" w:space="0" w:color="auto"/>
        <w:bottom w:val="none" w:sz="0" w:space="0" w:color="auto"/>
        <w:right w:val="none" w:sz="0" w:space="0" w:color="auto"/>
      </w:divBdr>
    </w:div>
    <w:div w:id="1729718097">
      <w:bodyDiv w:val="1"/>
      <w:marLeft w:val="0"/>
      <w:marRight w:val="0"/>
      <w:marTop w:val="0"/>
      <w:marBottom w:val="0"/>
      <w:divBdr>
        <w:top w:val="none" w:sz="0" w:space="0" w:color="auto"/>
        <w:left w:val="none" w:sz="0" w:space="0" w:color="auto"/>
        <w:bottom w:val="none" w:sz="0" w:space="0" w:color="auto"/>
        <w:right w:val="none" w:sz="0" w:space="0" w:color="auto"/>
      </w:divBdr>
      <w:divsChild>
        <w:div w:id="1044330253">
          <w:marLeft w:val="1800"/>
          <w:marRight w:val="0"/>
          <w:marTop w:val="96"/>
          <w:marBottom w:val="0"/>
          <w:divBdr>
            <w:top w:val="none" w:sz="0" w:space="0" w:color="auto"/>
            <w:left w:val="none" w:sz="0" w:space="0" w:color="auto"/>
            <w:bottom w:val="none" w:sz="0" w:space="0" w:color="auto"/>
            <w:right w:val="none" w:sz="0" w:space="0" w:color="auto"/>
          </w:divBdr>
        </w:div>
        <w:div w:id="1498106621">
          <w:marLeft w:val="1166"/>
          <w:marRight w:val="0"/>
          <w:marTop w:val="115"/>
          <w:marBottom w:val="0"/>
          <w:divBdr>
            <w:top w:val="none" w:sz="0" w:space="0" w:color="auto"/>
            <w:left w:val="none" w:sz="0" w:space="0" w:color="auto"/>
            <w:bottom w:val="none" w:sz="0" w:space="0" w:color="auto"/>
            <w:right w:val="none" w:sz="0" w:space="0" w:color="auto"/>
          </w:divBdr>
        </w:div>
        <w:div w:id="1516073184">
          <w:marLeft w:val="1166"/>
          <w:marRight w:val="0"/>
          <w:marTop w:val="115"/>
          <w:marBottom w:val="0"/>
          <w:divBdr>
            <w:top w:val="none" w:sz="0" w:space="0" w:color="auto"/>
            <w:left w:val="none" w:sz="0" w:space="0" w:color="auto"/>
            <w:bottom w:val="none" w:sz="0" w:space="0" w:color="auto"/>
            <w:right w:val="none" w:sz="0" w:space="0" w:color="auto"/>
          </w:divBdr>
        </w:div>
        <w:div w:id="1596936905">
          <w:marLeft w:val="1166"/>
          <w:marRight w:val="0"/>
          <w:marTop w:val="115"/>
          <w:marBottom w:val="0"/>
          <w:divBdr>
            <w:top w:val="none" w:sz="0" w:space="0" w:color="auto"/>
            <w:left w:val="none" w:sz="0" w:space="0" w:color="auto"/>
            <w:bottom w:val="none" w:sz="0" w:space="0" w:color="auto"/>
            <w:right w:val="none" w:sz="0" w:space="0" w:color="auto"/>
          </w:divBdr>
        </w:div>
        <w:div w:id="1858421412">
          <w:marLeft w:val="1800"/>
          <w:marRight w:val="0"/>
          <w:marTop w:val="96"/>
          <w:marBottom w:val="0"/>
          <w:divBdr>
            <w:top w:val="none" w:sz="0" w:space="0" w:color="auto"/>
            <w:left w:val="none" w:sz="0" w:space="0" w:color="auto"/>
            <w:bottom w:val="none" w:sz="0" w:space="0" w:color="auto"/>
            <w:right w:val="none" w:sz="0" w:space="0" w:color="auto"/>
          </w:divBdr>
        </w:div>
        <w:div w:id="1914703956">
          <w:marLeft w:val="1800"/>
          <w:marRight w:val="0"/>
          <w:marTop w:val="96"/>
          <w:marBottom w:val="0"/>
          <w:divBdr>
            <w:top w:val="none" w:sz="0" w:space="0" w:color="auto"/>
            <w:left w:val="none" w:sz="0" w:space="0" w:color="auto"/>
            <w:bottom w:val="none" w:sz="0" w:space="0" w:color="auto"/>
            <w:right w:val="none" w:sz="0" w:space="0" w:color="auto"/>
          </w:divBdr>
        </w:div>
        <w:div w:id="2074693944">
          <w:marLeft w:val="1800"/>
          <w:marRight w:val="0"/>
          <w:marTop w:val="96"/>
          <w:marBottom w:val="0"/>
          <w:divBdr>
            <w:top w:val="none" w:sz="0" w:space="0" w:color="auto"/>
            <w:left w:val="none" w:sz="0" w:space="0" w:color="auto"/>
            <w:bottom w:val="none" w:sz="0" w:space="0" w:color="auto"/>
            <w:right w:val="none" w:sz="0" w:space="0" w:color="auto"/>
          </w:divBdr>
        </w:div>
      </w:divsChild>
    </w:div>
    <w:div w:id="1960254730">
      <w:bodyDiv w:val="1"/>
      <w:marLeft w:val="0"/>
      <w:marRight w:val="0"/>
      <w:marTop w:val="0"/>
      <w:marBottom w:val="0"/>
      <w:divBdr>
        <w:top w:val="none" w:sz="0" w:space="0" w:color="auto"/>
        <w:left w:val="none" w:sz="0" w:space="0" w:color="auto"/>
        <w:bottom w:val="none" w:sz="0" w:space="0" w:color="auto"/>
        <w:right w:val="none" w:sz="0" w:space="0" w:color="auto"/>
      </w:divBdr>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 w:id="2117626764">
      <w:bodyDiv w:val="1"/>
      <w:marLeft w:val="0"/>
      <w:marRight w:val="0"/>
      <w:marTop w:val="0"/>
      <w:marBottom w:val="0"/>
      <w:divBdr>
        <w:top w:val="none" w:sz="0" w:space="0" w:color="auto"/>
        <w:left w:val="none" w:sz="0" w:space="0" w:color="auto"/>
        <w:bottom w:val="none" w:sz="0" w:space="0" w:color="auto"/>
        <w:right w:val="none" w:sz="0" w:space="0" w:color="auto"/>
      </w:divBdr>
      <w:divsChild>
        <w:div w:id="14503346">
          <w:marLeft w:val="1800"/>
          <w:marRight w:val="0"/>
          <w:marTop w:val="91"/>
          <w:marBottom w:val="0"/>
          <w:divBdr>
            <w:top w:val="none" w:sz="0" w:space="0" w:color="auto"/>
            <w:left w:val="none" w:sz="0" w:space="0" w:color="auto"/>
            <w:bottom w:val="none" w:sz="0" w:space="0" w:color="auto"/>
            <w:right w:val="none" w:sz="0" w:space="0" w:color="auto"/>
          </w:divBdr>
        </w:div>
        <w:div w:id="82801852">
          <w:marLeft w:val="1166"/>
          <w:marRight w:val="0"/>
          <w:marTop w:val="106"/>
          <w:marBottom w:val="0"/>
          <w:divBdr>
            <w:top w:val="none" w:sz="0" w:space="0" w:color="auto"/>
            <w:left w:val="none" w:sz="0" w:space="0" w:color="auto"/>
            <w:bottom w:val="none" w:sz="0" w:space="0" w:color="auto"/>
            <w:right w:val="none" w:sz="0" w:space="0" w:color="auto"/>
          </w:divBdr>
        </w:div>
        <w:div w:id="145049214">
          <w:marLeft w:val="547"/>
          <w:marRight w:val="0"/>
          <w:marTop w:val="120"/>
          <w:marBottom w:val="0"/>
          <w:divBdr>
            <w:top w:val="none" w:sz="0" w:space="0" w:color="auto"/>
            <w:left w:val="none" w:sz="0" w:space="0" w:color="auto"/>
            <w:bottom w:val="none" w:sz="0" w:space="0" w:color="auto"/>
            <w:right w:val="none" w:sz="0" w:space="0" w:color="auto"/>
          </w:divBdr>
        </w:div>
        <w:div w:id="442649189">
          <w:marLeft w:val="1166"/>
          <w:marRight w:val="0"/>
          <w:marTop w:val="106"/>
          <w:marBottom w:val="0"/>
          <w:divBdr>
            <w:top w:val="none" w:sz="0" w:space="0" w:color="auto"/>
            <w:left w:val="none" w:sz="0" w:space="0" w:color="auto"/>
            <w:bottom w:val="none" w:sz="0" w:space="0" w:color="auto"/>
            <w:right w:val="none" w:sz="0" w:space="0" w:color="auto"/>
          </w:divBdr>
        </w:div>
        <w:div w:id="690108914">
          <w:marLeft w:val="1166"/>
          <w:marRight w:val="0"/>
          <w:marTop w:val="106"/>
          <w:marBottom w:val="0"/>
          <w:divBdr>
            <w:top w:val="none" w:sz="0" w:space="0" w:color="auto"/>
            <w:left w:val="none" w:sz="0" w:space="0" w:color="auto"/>
            <w:bottom w:val="none" w:sz="0" w:space="0" w:color="auto"/>
            <w:right w:val="none" w:sz="0" w:space="0" w:color="auto"/>
          </w:divBdr>
        </w:div>
        <w:div w:id="1061708003">
          <w:marLeft w:val="547"/>
          <w:marRight w:val="0"/>
          <w:marTop w:val="120"/>
          <w:marBottom w:val="0"/>
          <w:divBdr>
            <w:top w:val="none" w:sz="0" w:space="0" w:color="auto"/>
            <w:left w:val="none" w:sz="0" w:space="0" w:color="auto"/>
            <w:bottom w:val="none" w:sz="0" w:space="0" w:color="auto"/>
            <w:right w:val="none" w:sz="0" w:space="0" w:color="auto"/>
          </w:divBdr>
        </w:div>
        <w:div w:id="1401097450">
          <w:marLeft w:val="547"/>
          <w:marRight w:val="0"/>
          <w:marTop w:val="120"/>
          <w:marBottom w:val="0"/>
          <w:divBdr>
            <w:top w:val="none" w:sz="0" w:space="0" w:color="auto"/>
            <w:left w:val="none" w:sz="0" w:space="0" w:color="auto"/>
            <w:bottom w:val="none" w:sz="0" w:space="0" w:color="auto"/>
            <w:right w:val="none" w:sz="0" w:space="0" w:color="auto"/>
          </w:divBdr>
        </w:div>
        <w:div w:id="1560748103">
          <w:marLeft w:val="1166"/>
          <w:marRight w:val="0"/>
          <w:marTop w:val="106"/>
          <w:marBottom w:val="0"/>
          <w:divBdr>
            <w:top w:val="none" w:sz="0" w:space="0" w:color="auto"/>
            <w:left w:val="none" w:sz="0" w:space="0" w:color="auto"/>
            <w:bottom w:val="none" w:sz="0" w:space="0" w:color="auto"/>
            <w:right w:val="none" w:sz="0" w:space="0" w:color="auto"/>
          </w:divBdr>
        </w:div>
        <w:div w:id="1599564128">
          <w:marLeft w:val="547"/>
          <w:marRight w:val="0"/>
          <w:marTop w:val="120"/>
          <w:marBottom w:val="0"/>
          <w:divBdr>
            <w:top w:val="none" w:sz="0" w:space="0" w:color="auto"/>
            <w:left w:val="none" w:sz="0" w:space="0" w:color="auto"/>
            <w:bottom w:val="none" w:sz="0" w:space="0" w:color="auto"/>
            <w:right w:val="none" w:sz="0" w:space="0" w:color="auto"/>
          </w:divBdr>
        </w:div>
        <w:div w:id="1715084047">
          <w:marLeft w:val="1166"/>
          <w:marRight w:val="0"/>
          <w:marTop w:val="106"/>
          <w:marBottom w:val="0"/>
          <w:divBdr>
            <w:top w:val="none" w:sz="0" w:space="0" w:color="auto"/>
            <w:left w:val="none" w:sz="0" w:space="0" w:color="auto"/>
            <w:bottom w:val="none" w:sz="0" w:space="0" w:color="auto"/>
            <w:right w:val="none" w:sz="0" w:space="0" w:color="auto"/>
          </w:divBdr>
        </w:div>
        <w:div w:id="1801149285">
          <w:marLeft w:val="1800"/>
          <w:marRight w:val="0"/>
          <w:marTop w:val="91"/>
          <w:marBottom w:val="0"/>
          <w:divBdr>
            <w:top w:val="none" w:sz="0" w:space="0" w:color="auto"/>
            <w:left w:val="none" w:sz="0" w:space="0" w:color="auto"/>
            <w:bottom w:val="none" w:sz="0" w:space="0" w:color="auto"/>
            <w:right w:val="none" w:sz="0" w:space="0" w:color="auto"/>
          </w:divBdr>
        </w:div>
      </w:divsChild>
    </w:div>
    <w:div w:id="2140417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5AIRPNAIUNRU-1328258698-8960</_dlc_DocId>
    <_dlc_DocIdUrl xmlns="71c5aaf6-e6ce-465b-b873-5148d2a4c105">
      <Url>https://nokia.sharepoint.com/sites/c5g/5gradio/_layouts/15/DocIdRedir.aspx?ID=5AIRPNAIUNRU-1328258698-8960</Url>
      <Description>5AIRPNAIUNRU-1328258698-8960</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2C03CD-A5BC-4A5F-ACA8-413630E5B1FD}">
  <ds:schemaRefs>
    <ds:schemaRef ds:uri="http://schemas.microsoft.com/sharepoint/v3/contenttype/forms"/>
  </ds:schemaRefs>
</ds:datastoreItem>
</file>

<file path=customXml/itemProps2.xml><?xml version="1.0" encoding="utf-8"?>
<ds:datastoreItem xmlns:ds="http://schemas.openxmlformats.org/officeDocument/2006/customXml" ds:itemID="{0A1FC166-62DD-4ECE-AA5C-0426B75701EC}">
  <ds:schemaRefs>
    <ds:schemaRef ds:uri="Microsoft.SharePoint.Taxonomy.ContentTypeSync"/>
  </ds:schemaRefs>
</ds:datastoreItem>
</file>

<file path=customXml/itemProps3.xml><?xml version="1.0" encoding="utf-8"?>
<ds:datastoreItem xmlns:ds="http://schemas.openxmlformats.org/officeDocument/2006/customXml" ds:itemID="{34C6501F-12C1-4586-AF94-FA02AB4895B5}">
  <ds:schemaRefs>
    <ds:schemaRef ds:uri="http://schemas.microsoft.com/office/infopath/2007/PartnerControls"/>
    <ds:schemaRef ds:uri="http://purl.org/dc/elements/1.1/"/>
    <ds:schemaRef ds:uri="http://www.w3.org/XML/1998/namespace"/>
    <ds:schemaRef ds:uri="3b34c8f0-1ef5-4d1e-bb66-517ce7fe7356"/>
    <ds:schemaRef ds:uri="http://schemas.microsoft.com/office/2006/metadata/properties"/>
    <ds:schemaRef ds:uri="71c5aaf6-e6ce-465b-b873-5148d2a4c105"/>
    <ds:schemaRef ds:uri="http://purl.org/dc/terms/"/>
    <ds:schemaRef ds:uri="http://schemas.microsoft.com/office/2006/documentManagement/types"/>
    <ds:schemaRef ds:uri="http://schemas.openxmlformats.org/package/2006/metadata/core-properties"/>
    <ds:schemaRef ds:uri="0b6aed8e-0313-4d17-80ff-d0e5da4931c5"/>
    <ds:schemaRef ds:uri="http://purl.org/dc/dcmitype/"/>
  </ds:schemaRefs>
</ds:datastoreItem>
</file>

<file path=customXml/itemProps4.xml><?xml version="1.0" encoding="utf-8"?>
<ds:datastoreItem xmlns:ds="http://schemas.openxmlformats.org/officeDocument/2006/customXml" ds:itemID="{658D4513-93FC-4C13-8293-E37A696C9FAD}">
  <ds:schemaRefs>
    <ds:schemaRef ds:uri="http://schemas.openxmlformats.org/officeDocument/2006/bibliography"/>
  </ds:schemaRefs>
</ds:datastoreItem>
</file>

<file path=customXml/itemProps5.xml><?xml version="1.0" encoding="utf-8"?>
<ds:datastoreItem xmlns:ds="http://schemas.openxmlformats.org/officeDocument/2006/customXml" ds:itemID="{D6F57F7A-73BB-4FCF-B260-AC1D7D6D67C3}">
  <ds:schemaRefs>
    <ds:schemaRef ds:uri="http://schemas.microsoft.com/sharepoint/events"/>
  </ds:schemaRefs>
</ds:datastoreItem>
</file>

<file path=customXml/itemProps6.xml><?xml version="1.0" encoding="utf-8"?>
<ds:datastoreItem xmlns:ds="http://schemas.openxmlformats.org/officeDocument/2006/customXml" ds:itemID="{7DC160E0-FEBA-421F-A007-69CD8435F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1358</Words>
  <Characters>8556</Characters>
  <Application>Microsoft Office Word</Application>
  <DocSecurity>0</DocSecurity>
  <Lines>71</Lines>
  <Paragraphs>19</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Discussion on timing error mitigation for NR positioning</vt:lpstr>
      <vt:lpstr>Electronic Meeting, May 9 – 20, 2022</vt:lpstr>
      <vt:lpstr/>
      <vt:lpstr>Introduction</vt:lpstr>
      <vt:lpstr>Discussion</vt:lpstr>
      <vt:lpstr>    Impact of TEG framework on measurement requirements</vt:lpstr>
      <vt:lpstr>    Temporal validity of UE/TRP Tx TEGs</vt:lpstr>
      <vt:lpstr>    Temporal validity of UE/TRP RxTx TEGs</vt:lpstr>
      <vt:lpstr>Conclusion</vt:lpstr>
      <vt:lpstr>References</vt:lpstr>
    </vt:vector>
  </TitlesOfParts>
  <Company/>
  <LinksUpToDate>false</LinksUpToDate>
  <CharactersWithSpaces>9895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timing error mitigation for NR positioning</dc:title>
  <dc:subject/>
  <dc:creator>Nokia</dc:creator>
  <cp:keywords/>
  <dc:description/>
  <cp:lastModifiedBy>Nokia</cp:lastModifiedBy>
  <cp:revision>3</cp:revision>
  <dcterms:created xsi:type="dcterms:W3CDTF">2022-04-25T18:53:00Z</dcterms:created>
  <dcterms:modified xsi:type="dcterms:W3CDTF">2022-04-25T18:56:00Z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7a1b14ae-7bb5-4814-96c9-6d24d5de4b04</vt:lpwstr>
  </property>
</Properties>
</file>